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RECURSO DE REPOSICIÓN</w:t>
        <w:br/>
        <w:t>Contra la Resolución No. 198 de 10 de septiembre de 2025 – RAP Amazonía</w:t>
      </w:r>
    </w:p>
    <w:p>
      <w:pPr>
        <w:jc w:val="center"/>
      </w:pPr>
      <w:r>
        <w:t>Interesado y recurrente: Municipio de Leticia – Amazonas</w:t>
        <w:br/>
        <w:t>Proyecto: BPIN 2021000060016 – “Fortalecimiento de la Integración Socioeconómica del Departamento del Amazonas mediante la construcción de la Avenida Vásquez Cobo en el municipio de Leticia”</w:t>
      </w:r>
    </w:p>
    <w:p/>
    <w:p>
      <w:pPr>
        <w:pStyle w:val="Heading1"/>
      </w:pPr>
      <w:r>
        <w:t>I. Resumen ejecutivo</w:t>
      </w:r>
    </w:p>
    <w:p>
      <w:r>
        <w:t>Se impugna la Resolución 198 de 2025 por: (i) falta de sustento técnico suficiente y desconocimiento de la procedencia de ajustes que no alteran el alcance (objetivos, productos y localización); (ii) vulneración de los principios de coordinación, eficacia y proporcionalidad; (iii) consecuencias desproporcionadas sobre el Municipio (riesgo vial, imposibilidad de intervenir el tramo, y efectos contractuales) y (iv) ilegalidad de los artículos 3° (inejecutabilidad/terminación) y 4° (compulsa genérica). Se solicita revocar el acto, disponer la continuidad del proyecto con mesa técnica interinstitucional y, en subsidio, conceder apelación ante el OCAD Regional Centro Sur.</w:t>
      </w:r>
    </w:p>
    <w:p>
      <w:pPr>
        <w:pStyle w:val="Heading1"/>
      </w:pPr>
      <w:r>
        <w:t>II. Marco normativo aplicable (Ajustes y alcance en el SGR)</w:t>
      </w:r>
    </w:p>
    <w:p>
      <w:r>
        <w:t>El Acuerdo 07 de 2022 define que los ajustes son modificaciones que no cambian el alcance del proyecto, entendido como objetivos (generales y específicos), productos y localización (arts. 4.5.1.1 y 4.5.1.2). Los ajustes proceden desde la viabilidad y registro y hasta antes del acto de cierre, y deben estar tramitados, registrados o aprobados. Si lo requerido cambia el alcance y el proyecto está en ejecución, la entidad ejecutora debe decidir motivadamente continuar sin ajuste (con certificación del supervisor/interventor) o cerrar el proyecto, conforme al art. 1.2.10.1.4 lit. j del DUR SGR (D. 1821/2020). Para proyectos aprobados, pueden ajustarse actividades y costos (incluida la inclusión de actividades nuevas), valor total (hasta el 50%) y fuentes, sin alterar alcance.</w:t>
      </w:r>
    </w:p>
    <w:p>
      <w:pPr>
        <w:pStyle w:val="Heading1"/>
      </w:pPr>
      <w:r>
        <w:t>III. Distribución de responsabilidades en el ciclo SGR y carga principal de la RAP como ejecutora</w:t>
      </w:r>
    </w:p>
    <w:p>
      <w:r>
        <w:t>La aprobación es competencia de las instancias del SGR (OCAD, según la asignación), que viabilizan, priorizan, aprueban y designan la entidad ejecutora. A partir de la contratación, la responsabilidad principal por la ejecución y la activación de ajustes recae en la ejecutora —en este caso, la RAP—, que debe suministrar información veraz y oportuna, implementar acciones para corregir y decidir motivadamente sobre la continuidad o cierre, sin trasladar automáticamente al Municipio o al contratista los riesgos propios de la ejecución.</w:t>
      </w:r>
    </w:p>
    <w:p>
      <w:pPr>
        <w:pStyle w:val="Heading1"/>
      </w:pPr>
      <w:r>
        <w:t>IV. Alcance del contrato y manejo de superposición de 234,92 m sin modificación del alcance</w:t>
      </w:r>
    </w:p>
    <w:p>
      <w:r>
        <w:t>El alcance aprobado del contrato comprende 1.500 metros en el mismo corredor y localización. Las obras complementarias (drenajes, manejo ambiental, adecuaciones puntuales de redes, señalización, estabilizaciones) no alteran el alcance porque son medios técnicos para asegurar la funcionalidad del mismo producto y en la misma localización. La superposición de 234,92 metros con pavimento en buen estado no obliga a demoler ni a reubicar el producto: se mantiene el alcance nominal y, al cierre físico–financiero, se deja constancia de cantidades no ejecutadas, con sustento técnico (topografía, evaluación de condición, registro fotográfico), evitando duplicidad de inversión. En el sistema, la meta podrá verse ejecutada por debajo del 100% en longitud, pero justificada como desviación técnica debidamente soportada.</w:t>
      </w:r>
    </w:p>
    <w:p>
      <w:pPr>
        <w:pStyle w:val="Heading1"/>
      </w:pPr>
      <w:r>
        <w:t>V. Cargos de impugnación (estructura y guía de lectura)</w:t>
      </w:r>
    </w:p>
    <w:p>
      <w:r>
        <w:t>Para coherencia y continuidad, los cargos se presentan siguiendo el patrón: Regla → Hecho → Prueba → Razón → Conclusión. Se incluyen, sin supresión alguna, las consideraciones ya expuestas en el escrito original, con estas rúbricas orientadoras:</w:t>
      </w:r>
    </w:p>
    <w:p>
      <w:pPr>
        <w:pStyle w:val="Heading2"/>
      </w:pPr>
      <w:r>
        <w:t>Cargo 1 – Falta de sustento técnico suficiente</w:t>
      </w:r>
    </w:p>
    <w:p>
      <w:pPr>
        <w:pStyle w:val="Heading2"/>
      </w:pPr>
      <w:r>
        <w:t>Cargo 2 – Ajustes permitidos vs. alcance del proyecto</w:t>
      </w:r>
    </w:p>
    <w:p>
      <w:pPr>
        <w:pStyle w:val="Heading2"/>
      </w:pPr>
      <w:r>
        <w:t>Cargo 3 – Desconocimiento del principio de coordinación interinstitucional</w:t>
      </w:r>
    </w:p>
    <w:p>
      <w:pPr>
        <w:pStyle w:val="Heading2"/>
      </w:pPr>
      <w:r>
        <w:t>Cargo 4 – Consecuencias desproporcionadas (riesgo vial, imposibilidad de intervención y efectos contractuales)</w:t>
      </w:r>
    </w:p>
    <w:p>
      <w:pPr>
        <w:pStyle w:val="Heading2"/>
      </w:pPr>
      <w:r>
        <w:t>Cargo 5 – Ilegalidad de los artículos 3° y 4° del acto</w:t>
      </w:r>
    </w:p>
    <w:p>
      <w:r>
        <w:t>Nota: el desarrollo íntegro de estos cargos —con todos los argumentos y consideraciones del escrito original— se mantiene a continuación, respetando su contenido y redacción; adicionalmente, se integran los acápites III y IV para robustecer el hilo conductor normativo y técnico.</w:t>
      </w:r>
    </w:p>
    <w:p>
      <w:pPr>
        <w:pStyle w:val="Heading1"/>
      </w:pPr>
      <w:r>
        <w:t>VI. Petición (ajustada y reforzada)</w:t>
      </w:r>
    </w:p>
    <w:p>
      <w:r>
        <w:t>a) Revocar la Resolución No. 198 del 10 de septiembre de 2025. b) Reconocer la legitimación del Municipio como interesado directo. c) Disponer la continuidad del proyecto BPIN 2021000060016, acogiendo el concepto de interventoría que acredita la viabilidad de ajustes subsanables; de ser necesario, ajustar cantidades o suprimir ítems accesorios sin afectar la funcionalidad, dentro del presupuesto disponible. d) Dejar sin efectos los artículos 3° y 4° del acto recurrido. e) Conformar mesa técnica interinstitucional (RAP, Municipio, DNP, MinTransporte y, cuando aplique, autoridad ambiental) a instalarse en cinco (5) días hábiles y presentar plan de ajustes en quince (15) días. f) En subsidio, conceder apelación ante el OCAD Regional Centro Sur. g) Mientras se decide la reposición, abstenerse de ejecutar medidas irreversibles que impidan la reanudación de la obra.</w:t>
      </w:r>
    </w:p>
    <w:p/>
    <w:p>
      <w:pPr>
        <w:pStyle w:val="Heading1"/>
      </w:pPr>
      <w:r>
        <w:t>ANEXO 1 – Recurso original íntegro (texto sin omisiones)</w:t>
      </w:r>
    </w:p>
    <w:p>
      <w:r>
        <w:t>Se incorpora a continuación el texto completo del recurso aportado por el Municipio, sin supresiones ni modificaciones de contenido, para garantizar trazabilidad y preservación de todas las consideraciones ya plasmadas en el escrito.</w:t>
      </w:r>
    </w:p>
    <w:p>
      <w:r/>
    </w:p>
    <w:p>
      <w:r>
        <w:rPr/>
        <w:t>SPI – 160</w:t>
      </w:r>
    </w:p>
    <w:p>
      <w:r/>
    </w:p>
    <w:p>
      <w:r>
        <w:rPr/>
        <w:t>Doctora</w:t>
      </w:r>
      <w:r>
        <w:rPr/>
        <w:br/>
      </w:r>
      <w:r>
        <w:rPr>
          <w:b/>
        </w:rPr>
        <w:t>LEIDY JOHANA CRUZ PALENCIA</w:t>
      </w:r>
    </w:p>
    <w:p>
      <w:r>
        <w:rPr/>
        <w:t>Gerente</w:t>
      </w:r>
      <w:r>
        <w:rPr/>
        <w:br/>
      </w:r>
      <w:r>
        <w:rPr>
          <w:b/>
        </w:rPr>
        <w:t xml:space="preserve">REGIÓN ADMINISTRATIVA Y DE PLANIFICACIÓN </w:t>
      </w:r>
      <w:r>
        <w:rPr>
          <w:b/>
        </w:rPr>
        <w:t xml:space="preserve">DE LA </w:t>
      </w:r>
      <w:r>
        <w:rPr>
          <w:b/>
        </w:rPr>
        <w:t>AMAZONÍA</w:t>
      </w:r>
      <w:r>
        <w:rPr/>
        <w:br/>
        <w:t>Ciudad.</w:t>
      </w:r>
    </w:p>
    <w:p>
      <w:r/>
    </w:p>
    <w:p>
      <w:r>
        <w:rPr>
          <w:b/>
        </w:rPr>
        <w:t>Referencia:</w:t>
      </w:r>
      <w:r>
        <w:rPr/>
        <w:t xml:space="preserve"> Recurso de reposición contra la Resolución No. 198 del 10 de septiembre de 2025, “Por medio de la cual se decide sobre la continuidad del proyecto BPIN 2021000060016 – </w:t>
      </w:r>
      <w:r>
        <w:rPr>
          <w:i/>
        </w:rPr>
        <w:t>Fortalecimiento de la Integración Socioeconómica del Departamento del Amazonas mediante la construcción de la Avenida Vásquez Cobo en el municipio de Leticia</w:t>
      </w:r>
      <w:r>
        <w:rPr/>
        <w:t>.”</w:t>
      </w:r>
    </w:p>
    <w:p>
      <w:r/>
    </w:p>
    <w:p>
      <w:r>
        <w:rPr>
          <w:b/>
        </w:rPr>
        <w:t>IDENTIFICACIÓN DEL RECURRENTE</w:t>
      </w:r>
    </w:p>
    <w:p>
      <w:r/>
    </w:p>
    <w:p>
      <w:r>
        <w:rPr/>
        <w:t xml:space="preserve">Municipio de Leticia, entidad territorial de derecho público, representada legalmente por el señor </w:t>
      </w:r>
      <w:r>
        <w:rPr/>
        <w:t>ELQUIN JADRIAN UNI HEREDIA</w:t>
      </w:r>
      <w:r>
        <w:rPr/>
        <w:t xml:space="preserve">, </w:t>
      </w:r>
      <w:r>
        <w:rPr/>
        <w:t>Alcalde</w:t>
      </w:r>
      <w:r>
        <w:rPr/>
        <w:t xml:space="preserve"> Municipal</w:t>
      </w:r>
      <w:r>
        <w:rPr/>
        <w:t>, ,</w:t>
      </w:r>
      <w:r>
        <w:rPr/>
        <w:t xml:space="preserve"> quien obra en ejercicio de las facultades constitucionales y legales que le confiere el artículo 315 de la Constitución Política y el artículo 91 de la Ley 136 de 1994, por intermedio de apoderado judicial debidamente constituido, comparece a interponer </w:t>
      </w:r>
      <w:r>
        <w:rPr>
          <w:b/>
        </w:rPr>
        <w:t xml:space="preserve">recurso de reposición </w:t>
      </w:r>
      <w:r>
        <w:rPr/>
        <w:t>contra la Resolución en referencia</w:t>
      </w:r>
      <w:r>
        <w:rPr/>
        <w:t>.</w:t>
      </w:r>
    </w:p>
    <w:p>
      <w:r/>
    </w:p>
    <w:p>
      <w:r>
        <w:rPr>
          <w:b/>
        </w:rPr>
        <w:t>LEGITIMACIÓN E INTERÉS JURÍDICO DEL MUNICIPIO DE LETICIA</w:t>
      </w:r>
    </w:p>
    <w:p>
      <w:r/>
    </w:p>
    <w:p>
      <w:r>
        <w:rPr/>
        <w:t xml:space="preserve">El Municipio de Leticia se encuentra plenamente legitimado para interponer el presente recurso, por cuanto ostenta un interés directo, actual y cierto en el resultado de la decisión adoptada mediante la Resolución No. 198 de 2025, expedida por la Región Administrativa y de Planificación – RAP Amazonía, mediante la cual se definió la continuidad del proyecto identificado con código BPIN 2021000060016, denominado </w:t>
      </w:r>
      <w:r>
        <w:rPr>
          <w:i/>
        </w:rPr>
        <w:t>“Fortalecimiento de la Integración Socioeconómica del Departamento del Amazonas mediante la construcción de la Avenida Vásquez Cobo en el municipio de Leticia.”</w:t>
      </w:r>
    </w:p>
    <w:p>
      <w:r/>
    </w:p>
    <w:p>
      <w:r>
        <w:rPr/>
        <w:t>Desde su origen, este proyecto fue formulado, estructurado y presentado por el Municipio de Leticia ante el OCAD Regional Centro Sur, en el marco de los lineamientos del Sistema General de Regalías (SGR). La iniciativa respondió a una necesidad prioritaria dentro del territorio municipal: mejorar la conectividad vial urbana y fortalecer la integración socioeconómica entre los sectores céntricos y periféricos de la ciudad, en especial hacia el corredor de la Avenida Vásquez Cobo, que constituye uno de los ejes estructurantes de la movilidad local.</w:t>
      </w:r>
    </w:p>
    <w:p>
      <w:r/>
    </w:p>
    <w:p>
      <w:r>
        <w:rPr/>
        <w:t>Posteriormente, la RAP Amazonía asumió la calidad de entidad ejecutora por delegación del OCAD, sin que ello implicara la pérdida del vínculo material, técnico y jurídico que el Municipio mantiene con el proyecto. Por el contrario, durante todo el proceso, la administración municipal ha desempeñado un rol activo y determinante, participando en las fases de formulación técnica, revisión de diseños, seguimiento a la ejecución contractual y asistencia a mesas de coordinación convocadas por la RAP y los entes de control.</w:t>
      </w:r>
    </w:p>
    <w:p>
      <w:r/>
    </w:p>
    <w:p>
      <w:r>
        <w:rPr/>
        <w:t>El Municipio de Leticia, en su condición de entidad territorial directamente beneficiaria, tiene la responsabilidad de integrar las obras dentro de su planificación urbana, territorial y presupuestal, así como de garantizar su mantenimiento y sostenibilidad a futuro. En consecuencia, las decisiones que adopte la RAP Amazonía sobre la ejecución o suspensión del proyecto inciden de manera inmediata en la gestión administrativa, fiscal y de planeación del ente territorial, afectando su capacidad de cumplir con los fines esenciales del Estado en materia de infraestructura vial, movilidad y desarrollo económico.</w:t>
      </w:r>
    </w:p>
    <w:p>
      <w:r/>
    </w:p>
    <w:p>
      <w:r>
        <w:rPr/>
        <w:t>La Resolución 198 de 2025 afecta de forma directa los intereses públicos y patrimoniales del Municipio, puesto que:</w:t>
      </w:r>
    </w:p>
    <w:p>
      <w:r/>
    </w:p>
    <w:p>
      <w:r>
        <w:rPr/>
        <w:t>Compromete una inversión superior a dieciocho mil novecientos cuarenta y cuatro millones de pesos ($18.944.000.000) destinados a la ejecución de una obra en su territorio, recursos que, en caso de no ejecutarse, se traducen en pérdida de oportunidades de desarrollo para la comunidad local.</w:t>
      </w:r>
    </w:p>
    <w:p>
      <w:r>
        <w:rPr/>
        <w:t>Incide negativamente en la continuidad de las políticas municipales de movilidad y ordenamiento urbano, que contemplan la Avenida Vásquez Cobo como eje articulador del sistema vial de Leticia.</w:t>
      </w:r>
    </w:p>
    <w:p>
      <w:r>
        <w:rPr/>
        <w:t>Atribuye a la administración municipal supuestas falencias de planeación y formulación, las cuales podrían generar riesgos de carácter fiscal, disciplinario o reputacional, pese a que dichas responsabilidades no le son atribuibles dentro del marco competencial del proceso.</w:t>
      </w:r>
    </w:p>
    <w:p>
      <w:r/>
    </w:p>
    <w:p>
      <w:r>
        <w:rPr/>
        <w:t xml:space="preserve">De conformidad con el artículo 34 del Código de Procedimiento Administrativo y de lo Contencioso Administrativo (Ley 1437 de 2011), están legitimadas para intervenir en las actuaciones administrativas aquellas personas naturales o jurídicas que acrediten un interés directo en el resultado de </w:t>
      </w:r>
      <w:r>
        <w:rPr/>
        <w:t>las mismas</w:t>
      </w:r>
      <w:r>
        <w:rPr/>
        <w:t>. Este interés se configura cuando la decisión puede generar efectos jurídicos, económicos o materiales sobre quien interviene.</w:t>
      </w:r>
    </w:p>
    <w:p>
      <w:r/>
    </w:p>
    <w:p>
      <w:r>
        <w:rPr/>
        <w:t>En el presente caso, el Municipio de Leticia es un sujeto directamente afectado y con interés jurídico evidente, toda vez que la resolución impugnada compromete la ejecución de un proyecto financiado con recursos públicos destinados a su jurisdicción, afecta su planeación estratégica, e incluso podría generar imputaciones que repercutan en su gestión institucional. Por lo tanto, el Municipio se encuentra plenamente legitimado para oponerse a la decisión y ejercer los recursos previstos por la ley, en defensa del interés público local y del adecuado uso de los recursos del Sistema General de Regalías.</w:t>
      </w:r>
    </w:p>
    <w:p>
      <w:r/>
    </w:p>
    <w:p>
      <w:r>
        <w:rPr>
          <w:b/>
        </w:rPr>
        <w:t>FUNDAMENTOS DEL RECURSO</w:t>
      </w:r>
    </w:p>
    <w:p>
      <w:r/>
    </w:p>
    <w:p>
      <w:r>
        <w:rPr>
          <w:b/>
        </w:rPr>
        <w:t>Falta de sustento técnico suficiente en las conclusiones de la RAP</w:t>
      </w:r>
    </w:p>
    <w:p>
      <w:r/>
    </w:p>
    <w:p>
      <w:r>
        <w:rPr/>
        <w:t>La Resolución No. 198 de 2025 aduce que el proyecto presenta “deficiencias estructurales y de coherencia técnica” que comprometen su viabilidad, mencionando tres aspectos concretos: (i) la presunta superposición de 234,92 metros ya pavimentados; (ii) la ausencia de obras de drenaje pluvial para el sector del humedal Simón Bolívar; y (iii) la necesidad de modificar redes de acueducto y alcantarillado.</w:t>
      </w:r>
    </w:p>
    <w:p>
      <w:r/>
    </w:p>
    <w:p>
      <w:r>
        <w:rPr/>
        <w:t>Sin embargo, dichas afirmaciones carecen de respaldo técnico y probatorio suficiente, pues no se sustentan en informes o peritajes imparciales, ni se contrastan con los documentos contractuales y técnicos obrantes en el expediente.</w:t>
      </w:r>
    </w:p>
    <w:p>
      <w:r/>
    </w:p>
    <w:p>
      <w:r>
        <w:rPr/>
        <w:t xml:space="preserve">Por el contrario, la interventoría del contrato de obra, mediante Concepto Técnico CVU-062-2025 del 19 de agosto de 2025, concluyó expresamente que las observaciones planteadas por la RAP podían ser plenamente subsanadas dentro del marco del contrato vigente, sin requerir su modificación esencial, recomendando por tanto la continuación de la ejecución. Dicho concepto, además, certificó que los ajustes propuestos por el contratista y validados por la supervisión cumplían con las exigencias </w:t>
      </w:r>
      <w:r>
        <w:rPr/>
        <w:t xml:space="preserve">y </w:t>
      </w:r>
      <w:r>
        <w:rPr/>
        <w:t>especificaciones del Instituto Nacional de Vías – INVIAS.</w:t>
      </w:r>
    </w:p>
    <w:p>
      <w:r/>
    </w:p>
    <w:p>
      <w:r>
        <w:rPr/>
        <w:t xml:space="preserve">La propia RAP Amazonía, en la parte motiva de la resolución recurrida, reconoce la existencia de este dictamen favorable, pero lo desestima sin ofrecer un análisis técnico contradictorio ni sustento pericial independiente que desvirtúe sus conclusiones. Tal omisión vulnera el principio de motivación suficiente de los actos administrativos, exigido por </w:t>
      </w:r>
      <w:r>
        <w:rPr/>
        <w:t>el</w:t>
      </w:r>
      <w:r>
        <w:rPr/>
        <w:t xml:space="preserve"> Código de Procedimiento Administrativo y de lo Contencioso Administrativo (CPACA), así como los principios de proporcionalidad, congruencia y debido proceso administrativo.</w:t>
      </w:r>
    </w:p>
    <w:p>
      <w:r/>
    </w:p>
    <w:p>
      <w:r>
        <w:rPr/>
        <w:t>De esta manera, la decisión de la RAP se apoya en juicios de valor subjetivos, no en pruebas técnicas objetivas que demuestren la imposibilidad material o jurídica de continuar la obra, lo que resulta improcedente frente a la naturaleza del contrato y los medios técnicos disponibles para corregir o ajustar situaciones propias de la ejecución.</w:t>
      </w:r>
    </w:p>
    <w:p>
      <w:r/>
    </w:p>
    <w:p>
      <w:r>
        <w:rPr/>
        <w:t xml:space="preserve">Sobre el concepto de “alcance del objeto contractual” </w:t>
      </w:r>
      <w:r>
        <w:rPr/>
        <w:t>e</w:t>
      </w:r>
      <w:r>
        <w:rPr/>
        <w:t>n el ámbito del derecho contractual estatal, hace referencia al conjunto de obligaciones, actividades, entregables y metas que el contratista debe cumplir para materializar el objeto principal definido por la entidad contratante. Dicho alcance se configura a partir de los estudios previos, los pliegos de condiciones y las especificaciones técnicas, y define el límite operativo y funcional del contrato.</w:t>
      </w:r>
    </w:p>
    <w:p>
      <w:r/>
    </w:p>
    <w:p>
      <w:r>
        <w:rPr/>
        <w:t>En términos jurídicos, el alcance representa la dimensión de ejecución del objeto, es decir, aquello que el contratista debe desarrollar para satisfacer la necesidad pública identificada. Por ello, una modificación del alcance solo se presenta cuando se altera la naturaleza, finalidad o estructura esencial del objeto, lo que requeriría un procedimiento formal de modificación contractual o la suscripción de un nuevo contrato.</w:t>
      </w:r>
    </w:p>
    <w:p>
      <w:r/>
    </w:p>
    <w:p>
      <w:r>
        <w:rPr/>
        <w:t>No obstante, el marco jurídico y la práctica contractual en materia de obras públicas reconocen que los proyectos de infraestructura —como el presente— pueden enfrentar limitaciones técnicas, físicas o presupuestales que no justifican una modificación esencial del objeto, sino simples ajustes de ejecución dentro de su mismo alcance, los cuales se resuelven mediante mecanismos de reducción o reprogramación de cantidades de obra, priorización de actividades o adaptación técnica, siempre que se mantenga incólume la finalidad pública del contrato.</w:t>
      </w:r>
    </w:p>
    <w:p>
      <w:r/>
    </w:p>
    <w:p>
      <w:r>
        <w:rPr/>
        <w:t xml:space="preserve">Desde una perspectiva jurídica y técnica, la ejecución de los contratos estatales no puede concebirse como un proceso rígido o estático. Por el contrario, constituye una etapa dinámica de desarrollo administrativo, en la cual concurren factores técnicos, presupuestales y operativos que pueden requerir ajustes razonables o adaptaciones funcionales, siempre que estos no alteren la esencia del objeto contratado ni desnaturalicen </w:t>
      </w:r>
      <w:r>
        <w:rPr/>
        <w:t>la finalidad pública que le dio origen. La práctica contractual en materia de obra pública demuestra que las condiciones reales del terreno, las variaciones menores en las cantidades de obra, la disponibilidad de materiales o la necesidad de optimizar recursos son circunstancias previsibles y gestionables dentro de la misma ejecución, sin que ello implique modificación contractual. Estos ajustes forman parte del principio de ejecución eficaz y continua del contrato estatal, mediante el cual la Administración busca cumplir el objeto pactado, garantizando la satisfacción de la necesidad pública con los medios más adecuados y eficientes. En este sentido, el concepto de “alcance del objeto contractual” delimita lo que el contratista debe ejecutar para cumplir la finalidad del negocio jurídico, pero no impide que, dentro de esos límites, se adopten soluciones técnicas flexibles o reprogramaciones operativas, orientadas a preservar la eficacia, la economía y la continuidad de la ejecución contractual</w:t>
      </w:r>
      <w:r>
        <w:rPr/>
        <w:t>, como lo pueden ser:</w:t>
      </w:r>
    </w:p>
    <w:p>
      <w:r/>
    </w:p>
    <w:p>
      <w:r>
        <w:rPr/>
        <w:t>Reducción o redistribución de ciertas cantidades de obra.</w:t>
      </w:r>
    </w:p>
    <w:p>
      <w:r>
        <w:rPr/>
        <w:t>Priorización de tramos o componentes técnicos según disponibilidad del terreno y condiciones ambientales.</w:t>
      </w:r>
    </w:p>
    <w:p>
      <w:r>
        <w:rPr/>
        <w:t>Implementación de soluciones hidráulicas o de drenaje de menor impacto, validadas técnicamente por la interventoría.</w:t>
      </w:r>
    </w:p>
    <w:p>
      <w:r/>
    </w:p>
    <w:p>
      <w:r>
        <w:rPr/>
        <w:t>Tales ajustes, lejos de implicar una modificación del contrato, constituyen una forma legítima y eficiente de materializar el objeto pactado, asegurando su ejecución dentro de los límites presupuestales y técnicos previstos originalmente.</w:t>
      </w:r>
    </w:p>
    <w:p>
      <w:r/>
    </w:p>
    <w:p>
      <w:r>
        <w:rPr/>
        <w:t>De conformidad con los criterios doctrinarios de la Agencia Nacional de Contratación Pública – Colombia Compra Eficiente, expuestos en los Conceptos C-960 de 2024 y C-384 de 2025, la modificación de un contrato estatal solo se considera irregular cuando altera el objeto o la esencia del negocio jurídico, mas no cuando obedece a la necesidad de ajustar condiciones técnicas para garantizar su ejecución y el interés público</w:t>
      </w:r>
    </w:p>
    <w:p>
      <w:r/>
    </w:p>
    <w:p>
      <w:r>
        <w:rPr/>
        <w:t>En ese sentido, los ajustes que impliquen la adaptación de diseños, la incorporación de obras complementarias o la actualización de precios no configuran un cambio de objeto, siempre que no se modifiquen los fines, productos o localización del proyecto, y se mantenga la finalidad para la cual fue aprobado.</w:t>
      </w:r>
    </w:p>
    <w:p>
      <w:r>
        <w:rPr/>
        <w:br/>
        <w:t>Así, las adecuaciones derivadas de condiciones técnicas o ambientales identificadas durante la ejecución encajan dentro de la noción de mutabilidad contractual legítima, reconocida tanto por la jurisprudencia del Consejo de Estado como por la doctrina administrativa citada.</w:t>
      </w:r>
    </w:p>
    <w:p>
      <w:r/>
    </w:p>
    <w:p>
      <w:r>
        <w:rPr/>
        <w:t>Por tanto, no existe fundamento para afirmar que las supuestas deficiencias detectadas por la RAP Amazonía comprometen la continuidad o la viabilidad del proyecto, pues —de acuerdo con la experiencia administrativa y técnica en obras de infraestructura— toda limitación razonable puede ser superada dentro del marco contractual existente, sin alterar su esencia, su finalidad ni su alcance jurídico.</w:t>
      </w:r>
    </w:p>
    <w:p>
      <w:r/>
    </w:p>
    <w:p>
      <w:r>
        <w:rPr>
          <w:b/>
        </w:rPr>
        <w:t>Desconocimiento del principio de coordinación interinstitucional</w:t>
      </w:r>
    </w:p>
    <w:p>
      <w:r/>
    </w:p>
    <w:p>
      <w:r>
        <w:rPr/>
        <w:t xml:space="preserve">La decisión contenida en la Resolución No. 198 de 2025 fue adoptada sin haber involucrado al Municipio de Leticia en el proceso de análisis y deliberación, a pesar de que este ostenta </w:t>
      </w:r>
      <w:r>
        <w:rPr/>
        <w:t>la titularidad plena de las competencias urbanísticas, viales y de ordenamiento territorial dentro de su jurisdicción. Esta omisión no constituye un simple defecto procedimental, sino una afectación sustantiva al principio de coordinación interinstitucional, que exige la articulación armónica entre las entidades públicas cuando sus actuaciones convergen sobre un mismo territorio o persiguen objetivos comunes.</w:t>
      </w:r>
    </w:p>
    <w:p>
      <w:r/>
    </w:p>
    <w:p>
      <w:r>
        <w:rPr/>
        <w:t>El artículo 209 de la Constitución Política impone a todas las autoridades el deber de coordinar sus actuaciones para el cumplimiento de los fines del Estado, mientras que el artículo 288 establece los principios de concurrencia, subsidiariedad y complementariedad entre los distintos niveles de la administración pública. A su vez, el artículo 6 de la Ley 489 de 1998 desarrolla estos postulados, disponiendo que las entidades deben actuar de manera coordinada y colaborativa para garantizar la unidad del Estado y la eficacia en la gestión pública.</w:t>
      </w:r>
    </w:p>
    <w:p>
      <w:r/>
    </w:p>
    <w:p>
      <w:r>
        <w:rPr/>
        <w:t>En ese contexto, la RAP Amazonía, al adoptar unilateralmente una decisión que compromete la ejecución de un proyecto territorialmente localizado en Leticia y directamente vinculado con su planeación vial y urbana, debió convocar formalmente al Municipio para participar en la discusión técnica y administrativa previa, concediéndole la oportunidad de controvertir las pruebas recaudadas. Tal participación no solo era deseable desde la perspectiva de la gestión, sino obligatoria desde el punto de vista jurídico, en tanto el acto administrativo incide en materias bajo la órbita competencial municipal, como la movilidad, la infraestructura y el uso del suelo.</w:t>
      </w:r>
    </w:p>
    <w:p>
      <w:r/>
    </w:p>
    <w:p>
      <w:r>
        <w:rPr/>
        <w:t>La ausencia de coordinación con el Municipio genera una ruptura en la cadena de corresponsabilidad institucional, pues se adoptó una decisión con impacto directo sobre la inversión pública local sin escuchar a la autoridad territorial que, por mandato legal, es responsable de su planeación y sostenibilidad. Además, se desconoció el principio de planeación participativa que rige la gestión pública territorial, el cual exige que toda modificación sustancial de un proyecto de impacto urbano o regional sea concertada con la entidad territorial afectada.</w:t>
      </w:r>
    </w:p>
    <w:p>
      <w:r/>
    </w:p>
    <w:p>
      <w:r>
        <w:rPr/>
        <w:t>En consecuencia, la omisión de la RAP Amazonía de coordinar su actuación con el Municipio de Leticia vicia de legitimidad y de razonabilidad la decisión adoptada, al haberse dictado sin la intervención de la autoridad competente en materia de planeación del desarrollo local. Este desconocimiento interinstitucional no solo vulnera los principios constitucionales antes mencionados, sino que contraría el deber de colaboración armónica entre las entidades del Estado, principio que constituye la base del ejercicio responsable y coherente de la función administrativa.</w:t>
      </w:r>
    </w:p>
    <w:p>
      <w:r/>
    </w:p>
    <w:p>
      <w:r>
        <w:rPr>
          <w:b/>
        </w:rPr>
        <w:t>Consecuencias desproporcionadas</w:t>
      </w:r>
    </w:p>
    <w:p>
      <w:r/>
    </w:p>
    <w:p>
      <w:r>
        <w:rPr/>
        <w:t>La determinación contenida en la Resolución No. 198 de 2025, mediante la cual la RAP Amazonía decide suspender —o eventualmente no continuar— la ejecución del proyecto BPIN 2021000060016, produce consecuencias jurídicas, económicas y sociales de gran magnitud, que trascienden el ámbito administrativo interno de la entidad ejecutora y afectan de manera directa los intereses del Municipio de Leticia y de su comunidad.</w:t>
      </w:r>
    </w:p>
    <w:p>
      <w:r/>
    </w:p>
    <w:p>
      <w:r>
        <w:rPr/>
        <w:t xml:space="preserve">En primer lugar, la medida genera una pérdida efectiva del valor público ya comprometido, pues los recursos del Sistema General de Regalías, destinados a la construcción de la </w:t>
      </w:r>
      <w:r>
        <w:rPr/>
        <w:t>Avenida Vásquez Cobo, fueron aprobados y apropiados con una finalidad específica: fortalecer la conectividad vial y promover la integración socioeconómica del territorio amazónico. La paralización del proyecto implica el riesgo de que dichos recursos pierdan oportunidad de ejecución o sean reprogramados hacia otros fines, frustrando los objetivos estratégicos para los cuales fueron aprobados y afectando la planeación financiera municipal y regional.</w:t>
      </w:r>
    </w:p>
    <w:p>
      <w:r/>
    </w:p>
    <w:p>
      <w:r>
        <w:rPr/>
        <w:t>En segundo lugar, la decisión impacta directamente a la comunidad beneficiaria, que ve suspendida la materialización de una obra largamente esperada y esencial para mejorar la movilidad urbana, el acceso a los servicios y la calidad de vida. La Avenida Vásquez Cobo constituye un corredor vital para la circulación de personas y mercancías dentro del casco urbano de Leticia, y su modernización representa un compromiso institucional frente a las metas del Plan de Desarrollo Municipal. La interrupción del proyecto, por tanto, socava la confianza ciudadana en la gestión pública y desvirtúa el principio de continuidad de la función administrativa.</w:t>
      </w:r>
    </w:p>
    <w:p>
      <w:r/>
    </w:p>
    <w:p>
      <w:r>
        <w:rPr/>
        <w:t>En tercer término, la suspensión conlleva la paralización de un proyecto estratégico de desarrollo urbano y regional, con efectos colaterales sobre el empleo local, la contratación de bienes y servicios, y la ejecución de obras complementarias. Además, se interrumpe la articulación con otros programas de inversión ya planificados, generando un vacío en la cadena de planeación territorial y debilitando la coherencia de la política pública en materia de infraestructura.</w:t>
      </w:r>
    </w:p>
    <w:p>
      <w:r/>
    </w:p>
    <w:p>
      <w:r>
        <w:rPr/>
        <w:t>A ello se suma que, mientras el proyecto BPIN 2021000060016 permanezca vigente y bajo la titularidad de la RAP Amazonía</w:t>
      </w:r>
      <w:r>
        <w:rPr/>
        <w:t xml:space="preserve"> o de otra entidad</w:t>
      </w:r>
      <w:r>
        <w:rPr/>
        <w:t>, el Municipio de Leticia no podrá adelantar ningún tipo de intervención sobre el mismo tramo vial, dado que ello implicaría una duplicidad de competencias y una eventual invasión del objeto contractual.</w:t>
      </w:r>
    </w:p>
    <w:p>
      <w:r/>
    </w:p>
    <w:p>
      <w:r>
        <w:rPr/>
        <w:t>Lo anterior resulta especialmente grave desde el punto de vista de la seguridad vial, toda vez que el deterioro progresivo de la Avenida Vásquez Cobo —exacerbado por el tráfico constante y las condiciones climáticas de la región amazónica— genera riesgos reales y actuales para los actores de movilidad, incluyendo peatones, motociclistas, ciclistas y conductores.</w:t>
      </w:r>
    </w:p>
    <w:p>
      <w:r>
        <w:rPr/>
        <w:br/>
        <w:t>La existencia de tramos con hundimientos, grietas, acumulación de agua y ausencia de drenaje adecuado incrementa la probabilidad de accidentes de tránsito, poniendo en peligro la integridad física de los habitantes y visitantes del municipio.</w:t>
      </w:r>
    </w:p>
    <w:p>
      <w:r>
        <w:rPr/>
        <w:br/>
        <w:t>En este contexto, la decisión de suspender el proyecto coloca a la Administración Municipal en una situación de indefensión material, pues pese a ser la autoridad responsable de la movilidad urbana, no puede intervenir el tramo afectado mientras se mantenga vigente el contrato y el BPIN asociado, quedando expuesta a eventuales reclamaciones o demandas por responsabilidad extracontractual del Estado en caso de que ocurran siniestros derivados del mal estado de la vía.</w:t>
      </w:r>
    </w:p>
    <w:p>
      <w:r>
        <w:rPr/>
        <w:br/>
        <w:t>Casos similares se han presentado en otras zonas del municipio, donde la omisión en la atención de daños viales ha sido interpretada por la jurisdicción contencioso-administrativa como una falla en el servicio, imponiendo al ente territorial la obligación de indemnizar a los afectados por accidentes previsibles y evitables.</w:t>
      </w:r>
    </w:p>
    <w:p>
      <w:r/>
    </w:p>
    <w:p>
      <w:r>
        <w:rPr/>
        <w:t>Resulta entonces preocupante y desproporcionado que una decisión administrativa adoptada por una entidad regional, sin competencia directa sobre la gestión vial local, termine generando un riesgo jurídico y patrimonial para el Municipio de Leticia, que carece de medios legales para prevenir o mitigar los daños que puedan sobrevenir mientras el proyecto permanezca suspendido.</w:t>
      </w:r>
    </w:p>
    <w:p>
      <w:r/>
    </w:p>
    <w:p>
      <w:r>
        <w:rPr/>
        <w:t>Desde el punto de vista contractual, la decisión de “no continuidad” repercute directamente sobre los contratos de obra e interventoría vigentes, los cuales no pueden darse por terminados unilateralmente en este escenario, toda vez que no se configura ninguna causal legal de terminación anticipada por parte de la entidad ejecutora.</w:t>
      </w:r>
    </w:p>
    <w:p>
      <w:r>
        <w:rPr/>
        <w:br/>
        <w:t>En este contexto, la eventual terminación solo podría tramitarse mediante la vía judicial, en un proceso de resolución o liquidación forzosa ante la jurisdicción contencioso-administrativa, lo cual prolongaría el estancamiento del proyecto durante un periodo estimado entre cinco (5) y diez (10) años.</w:t>
      </w:r>
      <w:r>
        <w:rPr/>
        <w:t xml:space="preserve"> </w:t>
      </w:r>
      <w:r>
        <w:rPr/>
        <w:t>Ello constituye una consecuencia abiertamente desproporcionada frente a las observaciones técnicas planteadas, que eran plenamente subsanables dentro del marco contractual vigente.</w:t>
      </w:r>
    </w:p>
    <w:p>
      <w:r/>
    </w:p>
    <w:p>
      <w:r>
        <w:rPr/>
        <w:t xml:space="preserve">Desde el punto de vista jurídico, la medida resulta desproporcionada e injustificada, en tanto existen mecanismos administrativos y contractuales suficientes para corregir, ajustar o mitigar las dificultades técnicas detectadas, sin recurrir a la suspensión o cancelación definitiva del proyecto. </w:t>
      </w:r>
    </w:p>
    <w:p>
      <w:r/>
    </w:p>
    <w:p>
      <w:r>
        <w:rPr/>
        <w:t>El principio de eficacia administrativa, consagrado en el artículo 3 del Código de Procedimiento Administrativo y de lo Contencioso Administrativo (Ley 1437 de 2011), impone a todas las autoridades el deber de adoptar las decisiones más adecuadas para lograr los fines de la función pública y asegurar el cumplimiento material de los objetivos institucionales.</w:t>
      </w:r>
    </w:p>
    <w:p>
      <w:r/>
    </w:p>
    <w:p>
      <w:r>
        <w:rPr/>
        <w:t>En consecuencia, ante la existencia de observaciones técnicas subsanables, la RAP Amazonía debió optar por medidas correctivas y de gestión del riesgo, tales como la reformulación de algunos componentes, la reducción o priorización de cantidades de obra o la programación de mesas técnicas conjuntas con el Municipio, en lugar de adoptar una decisión que frustra la ejecución de una inversión estratégica y socialmente necesaria.</w:t>
      </w:r>
    </w:p>
    <w:p>
      <w:r/>
    </w:p>
    <w:p>
      <w:r>
        <w:rPr/>
        <w:t>La doctrina administrativa ha reconocido que los contratos estatales son, por naturaleza, negocios jurídicos incompletos, susceptibles de ajustes razonables que permitan cumplir sus fines y evitar la paralización del servicio público.</w:t>
      </w:r>
    </w:p>
    <w:p>
      <w:r>
        <w:rPr/>
        <w:br/>
        <w:t>Como lo precisó Colombia Compra Eficiente en los Conceptos C-960 de 2024 y C-384 de 2025, la modificación del contrato es viable siempre que se funde en una causa real y cierta, orientada al interés público y dentro de los límites legales, sin que ello implique desconocer el principio de planeación</w:t>
      </w:r>
    </w:p>
    <w:p>
      <w:r>
        <w:rPr/>
        <w:t>.</w:t>
      </w:r>
    </w:p>
    <w:p>
      <w:r>
        <w:rPr/>
        <w:t>En consecuencia, frente a contingencias técnicas sobrevinientes o condiciones ambientales no previstas, el deber de la entidad ejecutora no era cancelar el proyecto, sino adoptar medidas correctivas dentro del marco del contrato vigente, en aplicación de los principios de eficacia, continuidad y proporcionalidad.</w:t>
      </w:r>
    </w:p>
    <w:p>
      <w:r/>
    </w:p>
    <w:p>
      <w:r>
        <w:rPr/>
        <w:t>Por tanto, la resolución impugnada no se ajusta al principio de eficacia ni al de proporcionalidad, pues sacrifica el interés público y la continuidad de una obra prioritaria frente a dificultades que, conforme a la experiencia técnica y contractual, podían ser superadas mediante mecanismos ordinarios de ajuste, sin afectar la validez ni la finalidad del proyecto.</w:t>
      </w:r>
    </w:p>
    <w:p>
      <w:r>
        <w:rPr/>
        <w:br/>
        <w:t>La decisión adoptada, en cambio, bloquea la gestión territorial del Municipio, compromete los contratos vigentes y posterga indefinidamente el desarrollo urbano de Leticia, configurando una afectación grave, desproporcionada e injustificada al interés general.</w:t>
      </w:r>
    </w:p>
    <w:p>
      <w:r/>
    </w:p>
    <w:p>
      <w:r>
        <w:rPr>
          <w:b/>
        </w:rPr>
        <w:t>Refutación de los argumentos técnicos, financieros y ambientales contenidos en los conceptos asesores de la RAP Amazonía</w:t>
      </w:r>
    </w:p>
    <w:p>
      <w:r/>
    </w:p>
    <w:p>
      <w:r>
        <w:rPr>
          <w:b/>
        </w:rPr>
        <w:t>5.1. Cuestionamiento a la metodología empleada y a la imparcialidad del análisis técnico</w:t>
      </w:r>
    </w:p>
    <w:p>
      <w:r/>
    </w:p>
    <w:p>
      <w:r>
        <w:rPr/>
        <w:t>Si bien la asesora Lady Cardona Lozada expone una metodología en cuatro fases —revisión normativa, análisis documental, evaluación técnico-jurídico-financiera y formulación de conclusiones—, dicha descripción responde a una estructura formal, no a una metodología de verificación técnica con rigor pericial ni soporte en trabajo de campo independiente.</w:t>
      </w:r>
    </w:p>
    <w:p>
      <w:r>
        <w:rPr/>
        <w:br/>
        <w:t>La revisión se apoya casi exclusivamente en información documental ya producida por los mismos actores intervinientes (balances, fichas, conceptos e informes de interventoría), sin evidencia de contrast</w:t>
      </w:r>
      <w:r>
        <w:rPr/>
        <w:t>e</w:t>
      </w:r>
      <w:r>
        <w:rPr/>
        <w:t xml:space="preserve"> direct</w:t>
      </w:r>
      <w:r>
        <w:rPr/>
        <w:t>o</w:t>
      </w:r>
      <w:r>
        <w:rPr/>
        <w:t xml:space="preserve"> mediante levantamientos topográficos, estudios hidráulicos o inspecciones en sitio que permitan sustentar empíricamente las conclusiones que se formulan.</w:t>
      </w:r>
    </w:p>
    <w:p>
      <w:r/>
    </w:p>
    <w:p>
      <w:r>
        <w:rPr/>
        <w:t>En otras palabras, el documento no constituye un dictamen técnico autónomo, sino un análisis sustentado en inferencias y apreciaciones, carente de una validación en terreno. Por tanto, su fuerza probatoria es meramente indicativa, no concluyente, y no puede fundamentar una decisión administrativa de la magnitud adoptada.</w:t>
      </w:r>
    </w:p>
    <w:p>
      <w:r/>
    </w:p>
    <w:p>
      <w:r>
        <w:rPr/>
        <w:t>Por tanto, el aumento presupuestal no representa irregularidad alguna ni configura un “cambio de alcance”, sino una medida legítima para garantizar la ejecución técnica del proyecto bajo los principios de planeación y eficiencia.</w:t>
      </w:r>
    </w:p>
    <w:p>
      <w:r/>
    </w:p>
    <w:p>
      <w:r/>
    </w:p>
    <w:p>
      <w:r>
        <w:rPr>
          <w:b/>
        </w:rPr>
        <w:t>5.2. Sobre la supuesta “superposición de 234,92 metros ya pavimentados”</w:t>
      </w:r>
    </w:p>
    <w:p>
      <w:r/>
    </w:p>
    <w:p>
      <w:r>
        <w:rPr/>
        <w:t>El señalamiento según el cual existiría una superposición de 234,92 metros ya pavimentados no afecta la integralidad ni la esencia del objeto contractual, ni representa un error estructural de planeación.</w:t>
      </w:r>
    </w:p>
    <w:p>
      <w:r>
        <w:rPr/>
        <w:br/>
        <w:t>Tal como lo precisó la interventoría en el Concepto Técnico CVU-062-2025, la existencia de un tramo pavimentado no impide la continuidad ni la funcionalidad del proyecto, toda vez que el diseño contempla su integración con las obras nuevas mediante tratamiento de superficie y nivelación estructural.</w:t>
      </w:r>
    </w:p>
    <w:p>
      <w:r>
        <w:rPr/>
        <w:br/>
        <w:t>La vía en cuestión no se reitera sobre una obra independiente, sino que completa el mismo eje vial, mejorando su capacidad estructural y condiciones de drenaje.</w:t>
      </w:r>
    </w:p>
    <w:p>
      <w:r>
        <w:rPr/>
        <w:br/>
        <w:t>La reducción de la longitud efectiva del tramo no altera el objeto ni configura un cambio de alcance: el producto entregable sigue siendo la Avenida Vásquez Cobo rehabilitada y funcional en toda su extensión proyectada.</w:t>
      </w:r>
    </w:p>
    <w:p>
      <w:r/>
    </w:p>
    <w:p>
      <w:r>
        <w:rPr/>
        <w:t>Sostener lo contrario equivale a asumir que cualquier variación de longitud por empalme o coincidencia parcial con pavimentos previos constituye “un nuevo objeto”, lo cual carece de fundamento jurídico y técnico. En la práctica, los proyectos viales urbanos frecuentemente incluyen tramos preexistentes sujetos a rehabilitación o mejoramiento, sin que ello implique pérdida de viabilidad o desnaturalización contractual.</w:t>
      </w:r>
    </w:p>
    <w:p>
      <w:r/>
    </w:p>
    <w:p>
      <w:r>
        <w:rPr>
          <w:b/>
        </w:rPr>
        <w:t>5.3. Sobre la presunta omisión de obras hidráulicas en el humedal Simón Bolívar</w:t>
      </w:r>
    </w:p>
    <w:p>
      <w:r/>
    </w:p>
    <w:p>
      <w:r>
        <w:rPr/>
        <w:t>El argumento según el cual la ausencia de un “box-culvert” o de pasos de fauna convierte el proyecto en inviable confunde la categoría de medidas ambientales complementarias con la esencia del objeto contractual.</w:t>
      </w:r>
    </w:p>
    <w:p>
      <w:r>
        <w:rPr/>
        <w:br/>
        <w:t>El proyecto aprobado tiene por objeto la construcción y mejoramiento de una vía urbana, no la intervención integral del sistema hídrico.</w:t>
      </w:r>
      <w:r>
        <w:rPr/>
        <w:t xml:space="preserve"> </w:t>
      </w:r>
      <w:r>
        <w:rPr/>
        <w:t>Las medidas de manejo ambiental, como drenajes o estructuras de conectividad ecológica, son componentes accesorios y ajustables en la fase de ejecución, siempre que se respeten los permisos y determinantes ambientales correspondientes.</w:t>
      </w:r>
    </w:p>
    <w:p>
      <w:r/>
    </w:p>
    <w:p>
      <w:r>
        <w:rPr/>
        <w:t>En consecuencia, la eventual necesidad de incorporar obras de drenaje o pasos de fauna no implica un cambio de alcance, sino una adaptación técnica compatible con la finalidad vial del contrato, plenamente admisible dentro de las reglas de gestión del riesgo y del principio de sostenibilidad ambiental.</w:t>
      </w:r>
    </w:p>
    <w:p>
      <w:r>
        <w:rPr/>
        <w:br/>
        <w:t>La propia legislación (Ley 99 de 1993 y Decreto 1076 de 2015) no exige reformular un proyecto cada vez que se identifican medidas de mitigación no previstas, sino que establece su incorporación progresiva mediante las herramientas de gestión ambiental (PMA, permisos de ocupación de cauce, autorizaciones complementarias).</w:t>
      </w:r>
    </w:p>
    <w:p>
      <w:r/>
    </w:p>
    <w:p>
      <w:r>
        <w:rPr/>
        <w:t>Además, la RAP omite reconocer que tales obras pueden ejecutarse dentro del mismo trazado y con cargo a los recursos disponibles, priorizando la funcionalidad hidráulica sin alterar la estructura esencial del contrato ni exceder los límites del Acuerdo 007 de 2022.</w:t>
      </w:r>
    </w:p>
    <w:p>
      <w:r>
        <w:rPr/>
        <w:br/>
        <w:t xml:space="preserve">Por tanto, </w:t>
      </w:r>
      <w:r>
        <w:rPr/>
        <w:t>afirmar</w:t>
      </w:r>
      <w:r>
        <w:rPr/>
        <w:t xml:space="preserve"> que la falta inicial de un box-culvert o de un </w:t>
      </w:r>
      <w:r>
        <w:rPr/>
        <w:t>eco-ducto</w:t>
      </w:r>
      <w:r>
        <w:rPr/>
        <w:t xml:space="preserve"> convierte el proyecto en “inviable estructuralmente” es una conclusión desproporcionada y carente de soporte normativo, más aún cuando los correctivos son plenamente implementables en fase de ajuste técnico.</w:t>
      </w:r>
    </w:p>
    <w:p>
      <w:r/>
    </w:p>
    <w:p>
      <w:r>
        <w:rPr>
          <w:b/>
        </w:rPr>
        <w:t>5.4. Inconsistencia del argumento financiero</w:t>
      </w:r>
    </w:p>
    <w:p>
      <w:r/>
    </w:p>
    <w:p>
      <w:r>
        <w:rPr/>
        <w:t>El concepto financiero sostiene que el ajuste representa una adición del 25,76 % del valor contractual y que ello implicaría una contradicción entre el aumento de recursos y la reducción del alcance físico.</w:t>
      </w:r>
    </w:p>
    <w:p>
      <w:r>
        <w:rPr/>
        <w:br/>
        <w:t>No obstante, esta interpretación ignora la realidad del mercado y la actualización de precios derivada del incremento del Índice de Costos de la Construcción de Obras Civiles, los nuevos requerimientos normativos técnicos y de materiales, y las condiciones logísticas propias de Leticia, municipio de frontera con sobrecostos estructurales de transporte.</w:t>
      </w:r>
    </w:p>
    <w:p>
      <w:r/>
    </w:p>
    <w:p>
      <w:r>
        <w:rPr/>
        <w:t>En tal contexto, el aumento presupuestal no se traduce en una ampliación del objeto, sino en la actualización económica necesaria para mantener su viabilidad técnica.</w:t>
      </w:r>
    </w:p>
    <w:p>
      <w:r>
        <w:rPr/>
        <w:br/>
        <w:t>El propio Acuerdo 007 de 2022 permite ajustes financieros hasta el 50 % del valor aprobado, precisamente para absorber este tipo de variaciones.</w:t>
      </w:r>
      <w:r>
        <w:rPr/>
        <w:br/>
        <w:t>Por ello, una adición del 25,76 % se encuentra dentro del marco permitido y no configura irregularidad alguna, siempre que la justificación técnica respalde la necesidad del recurso adicional.</w:t>
      </w:r>
    </w:p>
    <w:p>
      <w:r/>
    </w:p>
    <w:p>
      <w:r>
        <w:rPr/>
        <w:t>Además, la afirmación de que existe una “contradicción” entre mayor costo y menor longitud parte de una visión meramente cuantitativa del alcance físico, sin valorar que los rediseños hidráulicos, estructurales y ambientales pueden incrementar la complejidad técnica de la obra sin alterar su finalidad.</w:t>
      </w:r>
    </w:p>
    <w:p>
      <w:r/>
    </w:p>
    <w:p>
      <w:r>
        <w:rPr/>
        <w:t>El concepto financiero sostiene que el ajuste representa una adición del 25,76 % del valor contractual y que ello implicaría una contradicción entre el aumento de recursos y la reducción del alcance físico.</w:t>
      </w:r>
      <w:r>
        <w:rPr/>
        <w:t xml:space="preserve"> </w:t>
      </w:r>
      <w:r>
        <w:rPr/>
        <w:t>No obstante, esta interpretación desconoce la naturaleza dinámica de la ejecución contractual y la posibilidad, jurídicamente válida, de adaptar las cantidades de obra a las disponibilidades presupuestales sin alterar el objeto ni la finalidad del proyecto.</w:t>
      </w:r>
    </w:p>
    <w:p>
      <w:r/>
    </w:p>
    <w:p>
      <w:r>
        <w:rPr/>
        <w:t>De acuerdo con los criterios doctrinarios contenidos en el Concepto C-384 de 2025 de la Agencia Nacional de Contratación Pública – Colombia Compra Eficiente, la modificación de los valores contractuales no se limita únicamente a la adición de recursos, sino que puede materializarse mediante ajustes internos en las cantidades de obra, supresión de ítems accesorios o complementarios, o reprogramación de actividades, siempre que dichas medidas no afecten la funcionalidad ni la operatividad esencial del bien o servicio contratado.</w:t>
      </w:r>
    </w:p>
    <w:p>
      <w:r/>
    </w:p>
    <w:p>
      <w:r>
        <w:rPr/>
        <w:t>En consecuencia, en caso de no contarse con recursos adicionales suficientes, la RAP Amazonía podía —y debía— aplicar mecanismos de optimización técnica, ajustando las cantidades de obra o excluyendo componentes no esenciales hasta donde el presupuesto disponible lo permitiera, preservando así la integridad funcional de la Avenida Vásquez Cobo.</w:t>
      </w:r>
    </w:p>
    <w:p>
      <w:r>
        <w:rPr/>
        <w:br/>
        <w:t>Este tipo de medidas son expresamente reconocidas como válidas dentro del régimen contractual público, en virtud de los principios de planeación, economía y eficacia administrativa, que exigen a la administración buscar la ejecución de los proyectos dentro de las posibilidades reales de financiación, evitando la paralización de obras que satisfacen necesidades públicas prioritarias.</w:t>
      </w:r>
    </w:p>
    <w:p>
      <w:r/>
    </w:p>
    <w:p>
      <w:r>
        <w:rPr/>
        <w:t xml:space="preserve">Así las cosas, el incremento presupuestal planteado —equivalente al 25,76 %— no representa un cambio de alcance, sino la actualización económica necesaria para cumplir el mismo objeto en condiciones reales de mercado y, en su defecto, la adopción de medidas </w:t>
      </w:r>
      <w:r>
        <w:rPr/>
        <w:t>de racionalización técnica que aseguren la culminación del proyecto sin exceder la disponibilidad de recursos.</w:t>
      </w:r>
    </w:p>
    <w:p>
      <w:r/>
    </w:p>
    <w:p>
      <w:r>
        <w:rPr>
          <w:b/>
        </w:rPr>
        <w:t>5.5. Falta de rigor en el análisis jurídico-ambiental</w:t>
      </w:r>
    </w:p>
    <w:p>
      <w:r/>
    </w:p>
    <w:p>
      <w:r>
        <w:rPr/>
        <w:t>El denominado “Concepto Técnico Ambiental” de Corpoamazonia es, según se admite expresamente, un documento de apoyo técnico sin naturaleza de acto administrativo, por lo cual no produce efectos jurídicos vinculantes.</w:t>
      </w:r>
    </w:p>
    <w:p>
      <w:r>
        <w:rPr/>
        <w:br/>
        <w:t>Su contenido se limita a recomendaciones generales derivadas de una visita y una georreferenciación, sin constituir una decisión de autoridad ambiental ni una licencia o autorización en firme.</w:t>
      </w:r>
    </w:p>
    <w:p>
      <w:r>
        <w:rPr/>
        <w:br/>
        <w:t>Por tanto, la RAP no puede invocar dicho documento como fundamento determinante para declarar la inviabilidad de un proyecto, pues ello implicaría atribuirle efectos que exceden su naturaleza consultiva.</w:t>
      </w:r>
    </w:p>
    <w:p>
      <w:r/>
    </w:p>
    <w:p>
      <w:r>
        <w:rPr/>
        <w:t>Adicionalmente, el concepto ambiental no establece que el proyecto sea ilegal o irrealizable, sino que identifica la necesidad de incorporar medidas de manejo y de tramitar permisos específicos, obligaciones perfectamente compatibles con la continuación del proceso.</w:t>
      </w:r>
    </w:p>
    <w:p>
      <w:r>
        <w:rPr/>
        <w:br/>
        <w:t>Convertir esas recomendaciones en causa de “no continuidad” contradice el principio de gestión ambiental preventiva y progresiva, que permite ajustar proyectos en su ejecución para mitigar impactos, sin desvirtuar su validez ni su licitud.</w:t>
      </w:r>
    </w:p>
    <w:p>
      <w:r/>
    </w:p>
    <w:p>
      <w:r>
        <w:rPr>
          <w:b/>
        </w:rPr>
        <w:t>5.6. Falta de ponderación integral y vulneración del principio de proporcionalidad</w:t>
      </w:r>
    </w:p>
    <w:p>
      <w:r/>
    </w:p>
    <w:p>
      <w:r>
        <w:rPr/>
        <w:t>Finalmente, tanto los conceptos técnicos como el financiero y ambiental presentan una visión fragmentada e inconexa del proyecto, sin realizar una ponderación integral entre el interés ambiental, el principio de planeación y la eficacia del gasto público.</w:t>
      </w:r>
    </w:p>
    <w:p>
      <w:r>
        <w:rPr/>
        <w:br/>
        <w:t>Se privilegia la forma sobre el fondo, sacrificando la ejecución de una obra prioritaria y de alto impacto regional por observaciones subsanables, contrariando el principio de proporcionalidad que rige la actuación administrativa.</w:t>
      </w:r>
    </w:p>
    <w:p>
      <w:r/>
    </w:p>
    <w:p>
      <w:r>
        <w:rPr/>
        <w:t>El deber de la RAP no era detener un proceso viable, sino adoptar medidas correctivas coordinadas con el Municipio de Leticia, el contratista y la interventoría para garantizar su desarrollo técnico-ambiental conforme al marco normativo.</w:t>
      </w:r>
      <w:r>
        <w:rPr/>
        <w:t xml:space="preserve"> </w:t>
      </w:r>
      <w:r>
        <w:rPr/>
        <w:t>Al optar por la suspensión y la declaratoria de inviabilidad, la entidad ejecutora incurrió en una decisión desproporcionada, carente de motivación suficiente y contraria al principio de eficacia administrativa previsto en el artículo 3 del CPACA.</w:t>
      </w:r>
    </w:p>
    <w:p>
      <w:r/>
    </w:p>
    <w:p>
      <w:r>
        <w:rPr/>
        <w:t>La solicitud de revocatoria de la Resolución 198 de 2025 se sustenta, además, en los criterios doctrinarios de la Agencia Nacional de Contratación Pública – Colombia Compra Eficiente (Conceptos C-308 de 2024, C-384 de 2025 y C-960 de 2024)</w:t>
      </w:r>
      <w:r>
        <w:rPr/>
        <w:t>, que reconocen la procedencia excepcional pero legítima de las modificaciones contractuales cuando persiguen el interés público, se basan en causas ciertas y no alteran el objeto contractual.</w:t>
      </w:r>
    </w:p>
    <w:p>
      <w:r>
        <w:rPr/>
        <w:br/>
        <w:t xml:space="preserve">Bajo esa perspectiva, los ajustes técnicos recomendados por la interventoría </w:t>
      </w:r>
      <w:r>
        <w:rPr/>
        <w:t xml:space="preserve">se enmarcan </w:t>
      </w:r>
      <w:r>
        <w:rPr/>
        <w:t>dentro de</w:t>
      </w:r>
      <w:r>
        <w:rPr/>
        <w:t xml:space="preserve"> la legalidad y resultan necesarios para salvaguardar la inversión pública y los fines del Estado.</w:t>
      </w:r>
    </w:p>
    <w:p>
      <w:r/>
    </w:p>
    <w:p>
      <w:r>
        <w:rPr>
          <w:b/>
        </w:rPr>
        <w:t>6. Cuestionamiento a las decisiones adoptadas en los artículos tercero y cuarto de la Resolución 198 de 2025</w:t>
      </w:r>
    </w:p>
    <w:p>
      <w:r/>
    </w:p>
    <w:p>
      <w:r>
        <w:rPr>
          <w:b/>
        </w:rPr>
        <w:t>6.1. Improcedencia de la declaratoria de “inejecutabilidad” de los contratos</w:t>
      </w:r>
    </w:p>
    <w:p>
      <w:r/>
    </w:p>
    <w:p>
      <w:r>
        <w:rPr/>
        <w:t xml:space="preserve">El artículo tercero de la resolución impugnada dispone que, en virtud de la decisión de no continuar con el proyecto BPIN 2021000060016, los contratos de obra No. 025 de 2022 y de interventoría No. 020 de 2022 se encuentran en “condición de inejecutabilidad”, ordenando al </w:t>
      </w:r>
      <w:r>
        <w:rPr/>
        <w:t>Director</w:t>
      </w:r>
      <w:r>
        <w:rPr/>
        <w:t xml:space="preserve"> de Planeación Territorial de la RAP adelantar gestiones para su terminación anticipada por mutuo acuerdo, o en su defecto, acudir a los mecanismos judiciales pertinentes.</w:t>
      </w:r>
    </w:p>
    <w:p>
      <w:r/>
    </w:p>
    <w:p>
      <w:r>
        <w:rPr/>
        <w:t>i) La RAP Amazonía no puede declarar la inejecutabilidad de un contrato vigente sin que exista un acto administrativo de terminación debidamente motivado y notificado a las partes. La figura de la “inejecutabilidad” no existe como modalidad de terminación en el régimen contractual colombiano, ni en la Ley 80 de 1993 ni en la Ley 1150 de 2007. Su uso en este contexto constituye una invención jurídica sin respaldo normativo, contraria al principio de legalidad administrativa.</w:t>
      </w:r>
    </w:p>
    <w:p>
      <w:r/>
    </w:p>
    <w:p>
      <w:r>
        <w:rPr/>
        <w:t>ii) Los contratos de obra e interventoría fueron celebrados válidamente, se encuentran perfeccionados y ejecutables mientras no medie una causa legal de terminación. La decisión de la RAP no puede producir efectos extintivos sobre relaciones contractuales sin la existencia de un procedimiento bilateral, la audiencia de las partes y una declaración expresa de caducidad, terminación o nulidad.</w:t>
      </w:r>
    </w:p>
    <w:p>
      <w:r/>
    </w:p>
    <w:p>
      <w:r>
        <w:rPr/>
        <w:t>iii) La orden impartida de promover “terminación por mutuo acuerdo” implica prejuzgar sobre la voluntad contractual de los contratistas, lo que vulnera los principios de autonomía de la voluntad y de equilibrio contractual. Si las partes desean convenir la terminación anticipada, deben hacerlo en ejercicio de su libertad contractual, no por imposición de un acto administrativo unilateral carente de competencia.</w:t>
      </w:r>
    </w:p>
    <w:p>
      <w:r/>
    </w:p>
    <w:p>
      <w:r>
        <w:rPr/>
        <w:t>En consecuencia, la disposición del artículo tercero resulta ilegal, carente de competencia y violatoria del debido proceso contractual, pues la RAP se extralimitó al adoptar decisiones que afectan contratos válidos y en ejecución sin observar el procedimiento ni las causales previstas en la ley</w:t>
      </w:r>
      <w:r>
        <w:rPr>
          <w:b/>
        </w:rPr>
        <w:t>.</w:t>
      </w:r>
    </w:p>
    <w:p>
      <w:r/>
    </w:p>
    <w:p>
      <w:r>
        <w:rPr>
          <w:b/>
        </w:rPr>
        <w:t>6.2. Improcedencia y exceso de la compulsa de copias a órganos de control</w:t>
      </w:r>
    </w:p>
    <w:p>
      <w:r/>
    </w:p>
    <w:p>
      <w:r>
        <w:rPr/>
        <w:t xml:space="preserve">El artículo cuarto de la resolución ordena compulsar copias a la Procuraduría General de la Nación, </w:t>
      </w:r>
      <w:r>
        <w:rPr/>
        <w:t>Fiscalía General</w:t>
      </w:r>
      <w:r>
        <w:rPr/>
        <w:t xml:space="preserve"> de la Nación y Contraloría General de la República, para que adelanten investigaciones por presuntas irregularidades en la formulación, aprobación, designación de ejecutor y contratación del proyecto.</w:t>
      </w:r>
    </w:p>
    <w:p>
      <w:r/>
    </w:p>
    <w:p>
      <w:r>
        <w:rPr/>
        <w:t>i) La compulsa de copias es un mecanismo excepcional que solo procede cuando en una actuación administrativa se evidencian hechos concretos que constituyan presuntas faltas disciplinarias, delitos o perjuicios patrimoniales, debidamente individualizados y sustentados en pruebas.</w:t>
      </w:r>
    </w:p>
    <w:p>
      <w:r>
        <w:rPr/>
        <w:br/>
        <w:t>En el caso presente, la resolución no identifica personas, actos, ni hechos específicos que permitan inferir irregularidad alguna; se limita a formular una alusión genérica a supuestas fallas de planeación, lo cual no configura noticia criminis ni disciplinaria.</w:t>
      </w:r>
    </w:p>
    <w:p>
      <w:r/>
    </w:p>
    <w:p>
      <w:r>
        <w:rPr/>
        <w:t>ii) La decisión carece de motivación suficiente, pues no explica de qué manera las supuestas falencias técnicas o financieras derivarían en una conducta sancionable.</w:t>
      </w:r>
    </w:p>
    <w:p>
      <w:r/>
    </w:p>
    <w:p>
      <w:r>
        <w:rPr/>
        <w:t>La compulsa de copias debe estar debidamente motivada y limitada a hechos concretos, so pena de vulnerar el derecho al buen nombre y al debido proceso de las entidades y servidores involucrados.</w:t>
      </w:r>
    </w:p>
    <w:p>
      <w:r/>
    </w:p>
    <w:p>
      <w:r>
        <w:rPr/>
        <w:t>iii) La inclusión del Municipio de Leticia dentro de los sujetos que podrían ser objeto de investigación vulnera su derecho de defensa e imagen institucional, dado que no existe ninguna actuación previa que haya acreditado una conducta irregular por parte de sus funcionarios o contratistas.</w:t>
      </w:r>
    </w:p>
    <w:p>
      <w:r>
        <w:rPr/>
        <w:br/>
        <w:t>La RAP, en su calidad de ejecutora delegada, es quien ha ejercido la gestión directa del proyecto, por lo que la insinuación de responsabilidad hacia el Municipio carece de sustento jurídico y fáctico.</w:t>
      </w:r>
    </w:p>
    <w:p>
      <w:r/>
    </w:p>
    <w:p>
      <w:r>
        <w:rPr/>
        <w:t>iv) Además, esta decisión contradice el principio de coordinación interinstitucional, pues lejos de propiciar la colaboración y la solución conjunta de las observaciones técnicas, la RAP optó por una medida que agrava el conflicto institucional y crea un ambiente de desconfianza entre entidades públicas, afectando la continuidad de la inversión y la estabilidad de los contratos estatales.</w:t>
      </w:r>
    </w:p>
    <w:p>
      <w:r/>
    </w:p>
    <w:p>
      <w:r/>
    </w:p>
    <w:p>
      <w:r>
        <w:rPr>
          <w:b/>
        </w:rPr>
        <w:t>Distribución de responsabilidades en el ciclo SGR y carga principal de la RAP como ejecutora</w:t>
      </w:r>
    </w:p>
    <w:p>
      <w:r/>
    </w:p>
    <w:p>
      <w:r>
        <w:rPr>
          <w:b/>
        </w:rPr>
        <w:t>Estructura decisoria y roles en la aprobación de proyectos</w:t>
      </w:r>
    </w:p>
    <w:p>
      <w:r/>
    </w:p>
    <w:p>
      <w:r>
        <w:rPr/>
        <w:t xml:space="preserve">El régimen del SGR distingue entre </w:t>
      </w:r>
      <w:r>
        <w:rPr>
          <w:b/>
        </w:rPr>
        <w:t>viabilidad y registro</w:t>
      </w:r>
      <w:r>
        <w:rPr/>
        <w:t xml:space="preserve">, </w:t>
      </w:r>
      <w:r>
        <w:rPr>
          <w:b/>
        </w:rPr>
        <w:t>priorización</w:t>
      </w:r>
      <w:r>
        <w:rPr/>
        <w:t xml:space="preserve"> y </w:t>
      </w:r>
      <w:r>
        <w:rPr>
          <w:b/>
        </w:rPr>
        <w:t>aprobación</w:t>
      </w:r>
      <w:r>
        <w:rPr/>
        <w:t xml:space="preserve">, y </w:t>
      </w:r>
      <w:r>
        <w:rPr>
          <w:b/>
        </w:rPr>
        <w:t>ejecución–seguimiento</w:t>
      </w:r>
      <w:r>
        <w:rPr/>
        <w:t xml:space="preserve">. La </w:t>
      </w:r>
      <w:r>
        <w:rPr>
          <w:b/>
        </w:rPr>
        <w:t>aprobación</w:t>
      </w:r>
      <w:r>
        <w:rPr/>
        <w:t xml:space="preserve"> es la decisión de la instancia competente que autoriza la financiación y ejecución con cargo a las asignaciones del SGR; cuando concurren varias instancias o fuentes, </w:t>
      </w:r>
      <w:r>
        <w:rPr>
          <w:b/>
        </w:rPr>
        <w:t>cada una</w:t>
      </w:r>
      <w:r>
        <w:rPr/>
        <w:t xml:space="preserve"> debe aprobar y registrar su decisión, y el proyecto solo puede ejecutarse cuando </w:t>
      </w:r>
      <w:r>
        <w:rPr>
          <w:b/>
        </w:rPr>
        <w:t>todas</w:t>
      </w:r>
      <w:r>
        <w:rPr/>
        <w:t xml:space="preserve"> han aprobado. </w:t>
      </w:r>
    </w:p>
    <w:p>
      <w:r>
        <w:rPr/>
        <w:br/>
        <w:t xml:space="preserve">En ese marco, el </w:t>
      </w:r>
      <w:r>
        <w:rPr>
          <w:b/>
        </w:rPr>
        <w:t>OCAD</w:t>
      </w:r>
      <w:r>
        <w:rPr/>
        <w:t xml:space="preserve"> (según la asignación) </w:t>
      </w:r>
      <w:r>
        <w:rPr>
          <w:b/>
        </w:rPr>
        <w:t>evalúa/viabiliza, prioriza, aprueba y designa</w:t>
      </w:r>
      <w:r>
        <w:rPr/>
        <w:t xml:space="preserve"> a la </w:t>
      </w:r>
      <w:r>
        <w:rPr>
          <w:b/>
        </w:rPr>
        <w:t>entidad ejecutora</w:t>
      </w:r>
      <w:r>
        <w:rPr/>
        <w:t xml:space="preserve">; su responsabilidad se </w:t>
      </w:r>
      <w:r>
        <w:rPr>
          <w:b/>
        </w:rPr>
        <w:t>limita</w:t>
      </w:r>
      <w:r>
        <w:rPr/>
        <w:t xml:space="preserve"> a esas fases y </w:t>
      </w:r>
      <w:r>
        <w:rPr>
          <w:b/>
        </w:rPr>
        <w:t>no</w:t>
      </w:r>
      <w:r>
        <w:rPr/>
        <w:t xml:space="preserve"> comprende la ejecución contractual del proyecto. </w:t>
      </w:r>
    </w:p>
    <w:p>
      <w:r/>
    </w:p>
    <w:p>
      <w:r>
        <w:rPr>
          <w:b/>
        </w:rPr>
        <w:t>Ajustes y límites del “alcance” del proyecto</w:t>
      </w:r>
    </w:p>
    <w:p>
      <w:r/>
    </w:p>
    <w:p>
      <w:r>
        <w:rPr/>
        <w:t xml:space="preserve">El </w:t>
      </w:r>
      <w:r>
        <w:rPr>
          <w:b/>
        </w:rPr>
        <w:t>Acuerdo 07 de 2022</w:t>
      </w:r>
      <w:r>
        <w:rPr/>
        <w:t xml:space="preserve"> define el </w:t>
      </w:r>
      <w:r>
        <w:rPr>
          <w:b/>
        </w:rPr>
        <w:t>ajuste</w:t>
      </w:r>
      <w:r>
        <w:rPr/>
        <w:t xml:space="preserve"> como la modificación que </w:t>
      </w:r>
      <w:r>
        <w:rPr>
          <w:b/>
        </w:rPr>
        <w:t>no cambia el alcance</w:t>
      </w:r>
      <w:r>
        <w:rPr/>
        <w:t xml:space="preserve">, entendido como </w:t>
      </w:r>
      <w:r>
        <w:rPr>
          <w:b/>
        </w:rPr>
        <w:t>objetivos (generales y específicos), productos y localización</w:t>
      </w:r>
      <w:r>
        <w:rPr/>
        <w:t xml:space="preserve">; los </w:t>
      </w:r>
      <w:r>
        <w:rPr/>
        <w:t xml:space="preserve">ajustes proceden desde la viabilidad y registro </w:t>
      </w:r>
      <w:r>
        <w:rPr>
          <w:b/>
        </w:rPr>
        <w:t>hasta antes del acto de cierre</w:t>
      </w:r>
      <w:r>
        <w:rPr/>
        <w:t xml:space="preserve">, y no pueden ejecutarse si no están </w:t>
      </w:r>
      <w:r>
        <w:rPr>
          <w:b/>
        </w:rPr>
        <w:t>tramitados/registrados/aprobados</w:t>
      </w:r>
      <w:r>
        <w:rPr/>
        <w:t xml:space="preserve">. </w:t>
      </w:r>
    </w:p>
    <w:p>
      <w:r>
        <w:rPr/>
        <w:t>acuerdo 07 de 2022</w:t>
      </w:r>
    </w:p>
    <w:p>
      <w:r>
        <w:rPr/>
        <w:t>acuerdo 07 de 2022</w:t>
      </w:r>
    </w:p>
    <w:p>
      <w:r>
        <w:rPr/>
        <w:br/>
      </w:r>
      <w:r>
        <w:rPr>
          <w:b/>
        </w:rPr>
        <w:t>No procede</w:t>
      </w:r>
      <w:r>
        <w:rPr/>
        <w:t xml:space="preserve"> el ajuste cuando lo requerido </w:t>
      </w:r>
      <w:r>
        <w:rPr>
          <w:b/>
        </w:rPr>
        <w:t>cambia el alcance</w:t>
      </w:r>
      <w:r>
        <w:rPr/>
        <w:t xml:space="preserve">. Si el proyecto está </w:t>
      </w:r>
      <w:r>
        <w:rPr>
          <w:b/>
        </w:rPr>
        <w:t>en ejecución</w:t>
      </w:r>
      <w:r>
        <w:rPr/>
        <w:t xml:space="preserve"> y se requiere un cambio de alcance, la </w:t>
      </w:r>
      <w:r>
        <w:rPr>
          <w:b/>
        </w:rPr>
        <w:t>entidad ejecutora</w:t>
      </w:r>
      <w:r>
        <w:rPr/>
        <w:t xml:space="preserve"> debe aplicar el literal </w:t>
      </w:r>
      <w:r>
        <w:rPr>
          <w:b/>
        </w:rPr>
        <w:t>j)</w:t>
      </w:r>
      <w:r>
        <w:rPr/>
        <w:t xml:space="preserve"> del art. 1.2.10.1.4 del DUR SGR: decidir motivadamente si </w:t>
      </w:r>
      <w:r>
        <w:rPr>
          <w:b/>
        </w:rPr>
        <w:t>continúa sin el ajuste</w:t>
      </w:r>
      <w:r>
        <w:rPr/>
        <w:t xml:space="preserve"> (con certificación del supervisor/interventor) o si </w:t>
      </w:r>
      <w:r>
        <w:rPr>
          <w:b/>
        </w:rPr>
        <w:t>cierra</w:t>
      </w:r>
      <w:r>
        <w:rPr/>
        <w:t xml:space="preserve"> el proyecto. </w:t>
      </w:r>
    </w:p>
    <w:p>
      <w:r>
        <w:rPr/>
        <w:t>acuerdo 07 de 2022</w:t>
      </w:r>
    </w:p>
    <w:p>
      <w:r>
        <w:rPr/>
        <w:br/>
        <w:t xml:space="preserve">Para </w:t>
      </w:r>
      <w:r>
        <w:rPr>
          <w:b/>
        </w:rPr>
        <w:t>proyectos aprobados</w:t>
      </w:r>
      <w:r>
        <w:rPr/>
        <w:t xml:space="preserve">, son variables ajustables —sin tocar el alcance—, entre otras: </w:t>
      </w:r>
      <w:r>
        <w:rPr>
          <w:b/>
        </w:rPr>
        <w:t>actividades y costos</w:t>
      </w:r>
      <w:r>
        <w:rPr/>
        <w:t xml:space="preserve"> (incluida la </w:t>
      </w:r>
      <w:r>
        <w:rPr>
          <w:b/>
        </w:rPr>
        <w:t>inclusión de actividades nuevas</w:t>
      </w:r>
      <w:r>
        <w:rPr/>
        <w:t xml:space="preserve"> y reprogramación), </w:t>
      </w:r>
      <w:r>
        <w:rPr>
          <w:b/>
        </w:rPr>
        <w:t>valor total</w:t>
      </w:r>
      <w:r>
        <w:rPr/>
        <w:t xml:space="preserve"> (con posibilidad de </w:t>
      </w:r>
      <w:r>
        <w:rPr>
          <w:b/>
        </w:rPr>
        <w:t>incremento hasta el 50%</w:t>
      </w:r>
      <w:r>
        <w:rPr/>
        <w:t xml:space="preserve"> o disminución con liberación), </w:t>
      </w:r>
      <w:r>
        <w:rPr>
          <w:b/>
        </w:rPr>
        <w:t>fuentes de financiación</w:t>
      </w:r>
      <w:r>
        <w:rPr/>
        <w:t xml:space="preserve">, y cambios de ejecutor/interventoría en condiciones taxativas. </w:t>
      </w:r>
    </w:p>
    <w:p>
      <w:r>
        <w:rPr/>
        <w:t>acuerdo 07 de 2022</w:t>
      </w:r>
    </w:p>
    <w:p>
      <w:r>
        <w:rPr/>
        <w:t>acuerdo 07 de 2022</w:t>
      </w:r>
    </w:p>
    <w:p>
      <w:r>
        <w:rPr/>
        <w:t>acuerdo 07 de 2022</w:t>
      </w:r>
    </w:p>
    <w:p>
      <w:r>
        <w:rPr>
          <w:b/>
        </w:rPr>
        <w:t>3. Carga principal de la RAP Amazonía como ejecutora y contratante</w:t>
      </w:r>
    </w:p>
    <w:p>
      <w:r>
        <w:rPr/>
        <w:t xml:space="preserve">Designada la ejecutora y </w:t>
      </w:r>
      <w:r>
        <w:rPr>
          <w:b/>
        </w:rPr>
        <w:t>celebrados los contratos</w:t>
      </w:r>
      <w:r>
        <w:rPr/>
        <w:t xml:space="preserve">, la </w:t>
      </w:r>
      <w:r>
        <w:rPr>
          <w:b/>
        </w:rPr>
        <w:t>RAP</w:t>
      </w:r>
      <w:r>
        <w:rPr/>
        <w:t xml:space="preserve"> asume la </w:t>
      </w:r>
      <w:r>
        <w:rPr>
          <w:b/>
        </w:rPr>
        <w:t>gestión de la ejecución</w:t>
      </w:r>
      <w:r>
        <w:rPr/>
        <w:t xml:space="preserve">: suministrar información </w:t>
      </w:r>
      <w:r>
        <w:rPr>
          <w:b/>
        </w:rPr>
        <w:t>veraz y oportuna</w:t>
      </w:r>
      <w:r>
        <w:rPr/>
        <w:t xml:space="preserve">, </w:t>
      </w:r>
      <w:r>
        <w:rPr>
          <w:b/>
        </w:rPr>
        <w:t>implementar acciones</w:t>
      </w:r>
      <w:r>
        <w:rPr/>
        <w:t xml:space="preserve"> para encauzar el desempeño y </w:t>
      </w:r>
      <w:r>
        <w:rPr>
          <w:b/>
        </w:rPr>
        <w:t>decidir motivadamente</w:t>
      </w:r>
      <w:r>
        <w:rPr/>
        <w:t xml:space="preserve"> sobre la </w:t>
      </w:r>
      <w:r>
        <w:rPr>
          <w:b/>
        </w:rPr>
        <w:t>continuidad</w:t>
      </w:r>
      <w:r>
        <w:rPr/>
        <w:t xml:space="preserve"> del proyecto conforme al SSEC y al DUR SGR (art. 1.2.1.2.24 y remisión al art. 1.2.10.1.4 lit. j). </w:t>
      </w:r>
    </w:p>
    <w:p>
      <w:r>
        <w:rPr/>
        <w:t>RES 198 DE 2025_compressed</w:t>
      </w:r>
    </w:p>
    <w:p>
      <w:r>
        <w:rPr/>
        <w:t>Decreto_1821de2020_Comentado_OA…</w:t>
      </w:r>
    </w:p>
    <w:p>
      <w:r>
        <w:rPr/>
        <w:br/>
        <w:t xml:space="preserve">Así, aunque en la fase previa intervinieron </w:t>
      </w:r>
      <w:r>
        <w:rPr>
          <w:b/>
        </w:rPr>
        <w:t>Municipio/DNP/Ministerio/OCAD</w:t>
      </w:r>
      <w:r>
        <w:rPr/>
        <w:t xml:space="preserve"> (viabilidad, CTUS, priorización y aprobación), desde la </w:t>
      </w:r>
      <w:r>
        <w:rPr>
          <w:b/>
        </w:rPr>
        <w:t>contratación</w:t>
      </w:r>
      <w:r>
        <w:rPr/>
        <w:t xml:space="preserve"> la </w:t>
      </w:r>
      <w:r>
        <w:rPr>
          <w:b/>
        </w:rPr>
        <w:t>responsabilidad predominante</w:t>
      </w:r>
      <w:r>
        <w:rPr/>
        <w:t xml:space="preserve"> por la ejecución y por activar medidas de corrección/mitigación </w:t>
      </w:r>
      <w:r>
        <w:rPr>
          <w:b/>
        </w:rPr>
        <w:t>recae en la ejecutora</w:t>
      </w:r>
      <w:r>
        <w:rPr/>
        <w:t xml:space="preserve"> (RAP), sin perjuicio del control y seguimiento del sistema. </w:t>
      </w:r>
    </w:p>
    <w:p>
      <w:r>
        <w:rPr/>
        <w:t>Decreto_1821de2020_Comentado_OA…</w:t>
      </w:r>
    </w:p>
    <w:p>
      <w:r>
        <w:rPr/>
        <w:t>Decreto_1821de2020_Comentado_OA…</w:t>
      </w:r>
    </w:p>
    <w:p>
      <w:r>
        <w:rPr>
          <w:b/>
        </w:rPr>
        <w:t>4. Corresponsabilidad de los partícipes y alcance de sus deberes</w:t>
      </w:r>
    </w:p>
    <w:p>
      <w:r>
        <w:rPr>
          <w:b/>
        </w:rPr>
        <w:t>Municipio y sector</w:t>
      </w:r>
      <w:r>
        <w:rPr/>
        <w:t xml:space="preserve">: aportan insumos técnicos y conceptuales en la formulación/viabilidad (p.ej., CTUS sectorial), pero </w:t>
      </w:r>
      <w:r>
        <w:rPr>
          <w:b/>
        </w:rPr>
        <w:t>no</w:t>
      </w:r>
      <w:r>
        <w:rPr/>
        <w:t xml:space="preserve"> ejecutan el contrato. </w:t>
      </w:r>
    </w:p>
    <w:p>
      <w:r>
        <w:rPr/>
        <w:t>Decreto_1821de2020_Comentado_OA…</w:t>
      </w:r>
    </w:p>
    <w:p>
      <w:r>
        <w:rPr>
          <w:b/>
        </w:rPr>
        <w:t>OCAD</w:t>
      </w:r>
      <w:r>
        <w:rPr/>
        <w:t xml:space="preserve">: decide sobre </w:t>
      </w:r>
      <w:r>
        <w:rPr>
          <w:b/>
        </w:rPr>
        <w:t>aprobación</w:t>
      </w:r>
      <w:r>
        <w:rPr/>
        <w:t xml:space="preserve"> y </w:t>
      </w:r>
      <w:r>
        <w:rPr>
          <w:b/>
        </w:rPr>
        <w:t>designación del ejecutor</w:t>
      </w:r>
      <w:r>
        <w:rPr/>
        <w:t xml:space="preserve">, pero </w:t>
      </w:r>
      <w:r>
        <w:rPr>
          <w:b/>
        </w:rPr>
        <w:t>no</w:t>
      </w:r>
      <w:r>
        <w:rPr/>
        <w:t xml:space="preserve"> responde por la ejecución contractual. </w:t>
      </w:r>
    </w:p>
    <w:p>
      <w:r>
        <w:rPr/>
        <w:t>Decreto_1821de2020_Comentado_OA…</w:t>
      </w:r>
    </w:p>
    <w:p>
      <w:r>
        <w:rPr>
          <w:b/>
        </w:rPr>
        <w:t>RAP (ejecutora)</w:t>
      </w:r>
      <w:r>
        <w:rPr/>
        <w:t xml:space="preserve">: responsable de la </w:t>
      </w:r>
      <w:r>
        <w:rPr>
          <w:b/>
        </w:rPr>
        <w:t>administración contractual</w:t>
      </w:r>
      <w:r>
        <w:rPr/>
        <w:t xml:space="preserve">, del </w:t>
      </w:r>
      <w:r>
        <w:rPr>
          <w:b/>
        </w:rPr>
        <w:t>uso de los instrumentos de ajuste</w:t>
      </w:r>
      <w:r>
        <w:rPr/>
        <w:t xml:space="preserve"> dentro de los límites del alcance, y de activar la </w:t>
      </w:r>
      <w:r>
        <w:rPr>
          <w:b/>
        </w:rPr>
        <w:t>decisión de continuidad o cierre</w:t>
      </w:r>
      <w:r>
        <w:rPr/>
        <w:t xml:space="preserve"> cuando corresponda. </w:t>
      </w:r>
    </w:p>
    <w:p>
      <w:r>
        <w:rPr/>
        <w:t>acuerdo 07 de 2022</w:t>
      </w:r>
    </w:p>
    <w:p>
      <w:r>
        <w:rPr/>
        <w:t>acuerdo 07 de 2022</w:t>
      </w:r>
    </w:p>
    <w:p>
      <w:r>
        <w:rPr>
          <w:b/>
        </w:rPr>
        <w:t>5. Consecuencia para el caso concreto</w:t>
      </w:r>
    </w:p>
    <w:p>
      <w:r>
        <w:rPr/>
        <w:t xml:space="preserve">En este expediente, una vez el OCAD </w:t>
      </w:r>
      <w:r>
        <w:rPr>
          <w:b/>
        </w:rPr>
        <w:t>aprobó</w:t>
      </w:r>
      <w:r>
        <w:rPr/>
        <w:t xml:space="preserve"> y </w:t>
      </w:r>
      <w:r>
        <w:rPr>
          <w:b/>
        </w:rPr>
        <w:t>designó a la RAP</w:t>
      </w:r>
      <w:r>
        <w:rPr/>
        <w:t xml:space="preserve"> y ésta </w:t>
      </w:r>
      <w:r>
        <w:rPr>
          <w:b/>
        </w:rPr>
        <w:t>contrató</w:t>
      </w:r>
      <w:r>
        <w:rPr/>
        <w:t xml:space="preserve"> (obra e interventoría), cualquier deficiencia no advertida en la fase de estudio </w:t>
      </w:r>
      <w:r>
        <w:rPr>
          <w:b/>
        </w:rPr>
        <w:t>no</w:t>
      </w:r>
      <w:r>
        <w:rPr/>
        <w:t xml:space="preserve"> habilita a desplazar la carga de ejecución hacia el Municipio ni hacia el contratista: el ordenamiento prevé que </w:t>
      </w:r>
      <w:r>
        <w:rPr>
          <w:b/>
        </w:rPr>
        <w:t>la ejecutora</w:t>
      </w:r>
      <w:r>
        <w:rPr/>
        <w:t xml:space="preserve"> gestione los </w:t>
      </w:r>
      <w:r>
        <w:rPr>
          <w:b/>
        </w:rPr>
        <w:t>ajustes procedentes</w:t>
      </w:r>
      <w:r>
        <w:rPr/>
        <w:t xml:space="preserve"> (p. ej., obras complementarias </w:t>
      </w:r>
      <w:r>
        <w:rPr/>
        <w:t xml:space="preserve">de drenaje/redes) o adopte la </w:t>
      </w:r>
      <w:r>
        <w:rPr>
          <w:b/>
        </w:rPr>
        <w:t>decisión motivada</w:t>
      </w:r>
      <w:r>
        <w:rPr/>
        <w:t xml:space="preserve"> de </w:t>
      </w:r>
      <w:r>
        <w:rPr>
          <w:b/>
        </w:rPr>
        <w:t>continuidad sin ajuste</w:t>
      </w:r>
      <w:r>
        <w:rPr/>
        <w:t xml:space="preserve"> o </w:t>
      </w:r>
      <w:r>
        <w:rPr>
          <w:b/>
        </w:rPr>
        <w:t>cierre</w:t>
      </w:r>
      <w:r>
        <w:rPr/>
        <w:t xml:space="preserve">, según el DUR y el Acuerdo 07. </w:t>
      </w:r>
    </w:p>
    <w:p>
      <w:r/>
    </w:p>
    <w:p>
      <w:r>
        <w:rPr>
          <w:b/>
        </w:rPr>
        <w:t>VI. Alcance del contrato, integración de obras complementarias y manejo de la superposición de 235 m sin modificación del alcance</w:t>
      </w:r>
    </w:p>
    <w:p>
      <w:r>
        <w:rPr>
          <w:b/>
        </w:rPr>
        <w:t>Alcance comprometido y naturaleza del producto.</w:t>
      </w:r>
      <w:r>
        <w:rPr/>
        <w:br/>
        <w:t xml:space="preserve">El alcance contractual aprobado corresponde a la </w:t>
      </w:r>
      <w:r>
        <w:rPr>
          <w:b/>
        </w:rPr>
        <w:t>construcción/mejoramiento de 1.500 metros</w:t>
      </w:r>
      <w:r>
        <w:rPr/>
        <w:t xml:space="preserve"> de la Avenida Vásquez Cobo en el mismo </w:t>
      </w:r>
      <w:r>
        <w:rPr>
          <w:b/>
        </w:rPr>
        <w:t>corredor y localización</w:t>
      </w:r>
      <w:r>
        <w:rPr/>
        <w:t xml:space="preserve"> definidos, con el objetivo de </w:t>
      </w:r>
      <w:r>
        <w:rPr>
          <w:b/>
        </w:rPr>
        <w:t>asegurar transitabilidad, capacidad estructural, drenaje y seguridad vial</w:t>
      </w:r>
      <w:r>
        <w:rPr/>
        <w:t xml:space="preserve"> en el tramo. En esa lógica, las </w:t>
      </w:r>
      <w:r>
        <w:rPr>
          <w:b/>
        </w:rPr>
        <w:t>obras complementarias</w:t>
      </w:r>
      <w:r>
        <w:rPr/>
        <w:t xml:space="preserve"> (drenajes, obras de manejo ambiental, adecuaciones puntuales de redes, señalización/seguridad vial, estabilizaciones locales) </w:t>
      </w:r>
      <w:r>
        <w:rPr>
          <w:b/>
        </w:rPr>
        <w:t>no alteran el alcance</w:t>
      </w:r>
      <w:r>
        <w:rPr/>
        <w:t xml:space="preserve">, porque constituyen </w:t>
      </w:r>
      <w:r>
        <w:rPr>
          <w:b/>
        </w:rPr>
        <w:t>medios técnicos</w:t>
      </w:r>
      <w:r>
        <w:rPr/>
        <w:t xml:space="preserve"> necesarios para lograr la funcionalidad del </w:t>
      </w:r>
      <w:r>
        <w:rPr>
          <w:b/>
        </w:rPr>
        <w:t>mismo producto</w:t>
      </w:r>
      <w:r>
        <w:rPr/>
        <w:t xml:space="preserve"> en la </w:t>
      </w:r>
      <w:r>
        <w:rPr>
          <w:b/>
        </w:rPr>
        <w:t>misma localización</w:t>
      </w:r>
      <w:r>
        <w:rPr/>
        <w:t xml:space="preserve"> y con los </w:t>
      </w:r>
      <w:r>
        <w:rPr>
          <w:b/>
        </w:rPr>
        <w:t>mismos objetivos</w:t>
      </w:r>
      <w:r>
        <w:rPr/>
        <w:t xml:space="preserve">. Su finalidad es </w:t>
      </w:r>
      <w:r>
        <w:rPr>
          <w:b/>
        </w:rPr>
        <w:t>garantizar desempeño y durabilidad</w:t>
      </w:r>
      <w:r>
        <w:rPr/>
        <w:t>, no sustituir el producto ni desplazarlo a otro lugar.</w:t>
      </w:r>
    </w:p>
    <w:p>
      <w:r>
        <w:rPr>
          <w:b/>
        </w:rPr>
        <w:t>Obras complementarias ≠ cambio de alcance.</w:t>
      </w:r>
      <w:r>
        <w:rPr/>
        <w:br/>
        <w:t xml:space="preserve">La incorporación y/o priorización de actividades complementarias —por ejemplo, </w:t>
      </w:r>
      <w:r>
        <w:rPr>
          <w:b/>
        </w:rPr>
        <w:t>cunetas, sumideros, pozos, geotextiles, transiciones, mitigaciones</w:t>
      </w:r>
      <w:r>
        <w:rPr/>
        <w:t xml:space="preserve">— </w:t>
      </w:r>
      <w:r>
        <w:rPr>
          <w:b/>
        </w:rPr>
        <w:t>no modifica</w:t>
      </w:r>
      <w:r>
        <w:rPr/>
        <w:t xml:space="preserve"> los </w:t>
      </w:r>
      <w:r>
        <w:rPr>
          <w:b/>
        </w:rPr>
        <w:t>objetivos</w:t>
      </w:r>
      <w:r>
        <w:rPr/>
        <w:t xml:space="preserve"> del proyecto ni sus </w:t>
      </w:r>
      <w:r>
        <w:rPr>
          <w:b/>
        </w:rPr>
        <w:t>productos</w:t>
      </w:r>
      <w:r>
        <w:rPr/>
        <w:t xml:space="preserve"> ni su </w:t>
      </w:r>
      <w:r>
        <w:rPr>
          <w:b/>
        </w:rPr>
        <w:t>localización</w:t>
      </w:r>
      <w:r>
        <w:rPr/>
        <w:t xml:space="preserve">. Antes bien, responde al deber técnico de </w:t>
      </w:r>
      <w:r>
        <w:rPr>
          <w:b/>
        </w:rPr>
        <w:t>ajustar la solución constructiva</w:t>
      </w:r>
      <w:r>
        <w:rPr/>
        <w:t xml:space="preserve"> a las condiciones reales de campo, sin transgredir la esencia del objeto contractual. Por ello, pueden </w:t>
      </w:r>
      <w:r>
        <w:rPr>
          <w:b/>
        </w:rPr>
        <w:t>tramitarse y ejecutarse</w:t>
      </w:r>
      <w:r>
        <w:rPr/>
        <w:t xml:space="preserve"> dentro del mismo proyecto, aplicando las reglas de </w:t>
      </w:r>
      <w:r>
        <w:rPr>
          <w:b/>
        </w:rPr>
        <w:t>ajuste</w:t>
      </w:r>
      <w:r>
        <w:rPr/>
        <w:t xml:space="preserve"> y de </w:t>
      </w:r>
      <w:r>
        <w:rPr>
          <w:b/>
        </w:rPr>
        <w:t>gestión de cantidades</w:t>
      </w:r>
      <w:r>
        <w:rPr/>
        <w:t xml:space="preserve"> sin necesidad de reconfigurar el alcance.</w:t>
      </w:r>
    </w:p>
    <w:p>
      <w:r>
        <w:rPr>
          <w:b/>
        </w:rPr>
        <w:t>Superposición de 235 m: manejo técnico–administrativo sin alterar el alcance.</w:t>
      </w:r>
      <w:r>
        <w:rPr/>
        <w:br/>
        <w:t xml:space="preserve">La existencia de un </w:t>
      </w:r>
      <w:r>
        <w:rPr>
          <w:b/>
        </w:rPr>
        <w:t>tramo ya pavimentado (≈ 235 m)</w:t>
      </w:r>
      <w:r>
        <w:rPr/>
        <w:t xml:space="preserve"> dentro del corredor aprobado </w:t>
      </w:r>
      <w:r>
        <w:rPr>
          <w:b/>
        </w:rPr>
        <w:t>no obliga</w:t>
      </w:r>
      <w:r>
        <w:rPr/>
        <w:t xml:space="preserve"> a ejecutar una demolición/reconstrucción antitécnica ni a “mover” el producto a otro lugar. </w:t>
      </w:r>
      <w:r>
        <w:rPr>
          <w:b/>
        </w:rPr>
        <w:t>En la práctica</w:t>
      </w:r>
      <w:r>
        <w:rPr/>
        <w:t>, la solución correcta es:</w:t>
      </w:r>
    </w:p>
    <w:p>
      <w:r>
        <w:rPr>
          <w:b/>
        </w:rPr>
        <w:t>Mantener el alcance nominal de 1.500 m</w:t>
      </w:r>
      <w:r>
        <w:rPr/>
        <w:t xml:space="preserve"> sobre el </w:t>
      </w:r>
      <w:r>
        <w:rPr>
          <w:b/>
        </w:rPr>
        <w:t>mismo eje</w:t>
      </w:r>
      <w:r>
        <w:rPr/>
        <w:t>;</w:t>
      </w:r>
    </w:p>
    <w:p>
      <w:r>
        <w:rPr>
          <w:b/>
        </w:rPr>
        <w:t>No intervenir</w:t>
      </w:r>
      <w:r>
        <w:rPr/>
        <w:t xml:space="preserve"> el subtramo superpuesto cuando el pavimento existente se encuentre </w:t>
      </w:r>
      <w:r>
        <w:rPr>
          <w:b/>
        </w:rPr>
        <w:t>en condiciones de servicio aceptables</w:t>
      </w:r>
      <w:r>
        <w:rPr/>
        <w:t xml:space="preserve"> (verificado por interventoría);</w:t>
      </w:r>
    </w:p>
    <w:p>
      <w:r>
        <w:rPr/>
        <w:t xml:space="preserve">Ejecutar en el resto del tramo las actividades previstas y, de ser necesario, </w:t>
      </w:r>
      <w:r>
        <w:rPr>
          <w:b/>
        </w:rPr>
        <w:t>reforzar obras complementarias</w:t>
      </w:r>
      <w:r>
        <w:rPr/>
        <w:t xml:space="preserve"> que aseguren el </w:t>
      </w:r>
      <w:r>
        <w:rPr>
          <w:b/>
        </w:rPr>
        <w:t>desempeño integral</w:t>
      </w:r>
      <w:r>
        <w:rPr/>
        <w:t xml:space="preserve"> del corredor (drenajes, transiciones, dispositivos de seguridad, estabilizaciones puntuales); y</w:t>
      </w:r>
    </w:p>
    <w:p>
      <w:r>
        <w:rPr>
          <w:b/>
        </w:rPr>
        <w:t>Dejar constancia expresa en el cierre físico–financiero</w:t>
      </w:r>
      <w:r>
        <w:rPr/>
        <w:t xml:space="preserve"> (acta de cierre e informe final de interventoría) de las </w:t>
      </w:r>
      <w:r>
        <w:rPr>
          <w:b/>
        </w:rPr>
        <w:t>cantidades no ejecutadas</w:t>
      </w:r>
      <w:r>
        <w:rPr/>
        <w:t xml:space="preserve"> en el subtramo superpuesto, con su </w:t>
      </w:r>
      <w:r>
        <w:rPr>
          <w:b/>
        </w:rPr>
        <w:t>sustento técnico</w:t>
      </w:r>
      <w:r>
        <w:rPr/>
        <w:t xml:space="preserve">: levantamiento topográfico, evaluación de condición estructural/superficial, registro fotográfico y </w:t>
      </w:r>
      <w:r>
        <w:rPr>
          <w:b/>
        </w:rPr>
        <w:t>justificación de anti–duplicidad de inversión</w:t>
      </w:r>
      <w:r>
        <w:rPr/>
        <w:t>.</w:t>
      </w:r>
    </w:p>
    <w:p>
      <w:r>
        <w:rPr>
          <w:b/>
        </w:rPr>
        <w:t>Registro en el sistema y justificación de la “meta” física.</w:t>
      </w:r>
      <w:r>
        <w:rPr/>
        <w:br/>
        <w:t xml:space="preserve">En el aplicativo de seguimiento, la ejecución física podrá </w:t>
      </w:r>
      <w:r>
        <w:rPr>
          <w:b/>
        </w:rPr>
        <w:t>mostrar una meta inferior al 100% en la longitud</w:t>
      </w:r>
      <w:r>
        <w:rPr/>
        <w:t xml:space="preserve"> estrictamente intervenida. </w:t>
      </w:r>
      <w:r>
        <w:rPr>
          <w:b/>
        </w:rPr>
        <w:t>Esa diferencia debe quedar soportada</w:t>
      </w:r>
      <w:r>
        <w:rPr/>
        <w:t xml:space="preserve"> como </w:t>
      </w:r>
      <w:r>
        <w:rPr>
          <w:b/>
        </w:rPr>
        <w:t>“desviación justificada”</w:t>
      </w:r>
      <w:r>
        <w:rPr/>
        <w:t xml:space="preserve"> por </w:t>
      </w:r>
      <w:r>
        <w:rPr>
          <w:b/>
        </w:rPr>
        <w:t>superposición de infraestructura existente en buen estado</w:t>
      </w:r>
      <w:r>
        <w:rPr/>
        <w:t xml:space="preserve">, con evidencia de que: (i) se mantuvo la </w:t>
      </w:r>
      <w:r>
        <w:rPr>
          <w:b/>
        </w:rPr>
        <w:t>localización</w:t>
      </w:r>
      <w:r>
        <w:rPr/>
        <w:t xml:space="preserve"> y el </w:t>
      </w:r>
      <w:r>
        <w:rPr>
          <w:b/>
        </w:rPr>
        <w:t>objetivo</w:t>
      </w:r>
      <w:r>
        <w:rPr/>
        <w:t xml:space="preserve"> del producto; (ii) el corredor </w:t>
      </w:r>
      <w:r>
        <w:rPr>
          <w:b/>
        </w:rPr>
        <w:t>conserva continuidad funcional</w:t>
      </w:r>
      <w:r>
        <w:rPr/>
        <w:t xml:space="preserve">; y (iii) la no intervención del subtramo evitó </w:t>
      </w:r>
      <w:r>
        <w:rPr>
          <w:b/>
        </w:rPr>
        <w:t>duplicidad y gasto ineficiente</w:t>
      </w:r>
      <w:r>
        <w:rPr/>
        <w:t xml:space="preserve">. Esta forma de </w:t>
      </w:r>
      <w:r>
        <w:rPr/>
        <w:t xml:space="preserve">cierre </w:t>
      </w:r>
      <w:r>
        <w:rPr>
          <w:b/>
        </w:rPr>
        <w:t>no altera el alcance</w:t>
      </w:r>
      <w:r>
        <w:rPr/>
        <w:t xml:space="preserve"> aprobado y respeta los principios de </w:t>
      </w:r>
      <w:r>
        <w:rPr>
          <w:b/>
        </w:rPr>
        <w:t>planeación, economía y eficiencia</w:t>
      </w:r>
      <w:r>
        <w:rPr/>
        <w:t>.</w:t>
      </w:r>
    </w:p>
    <w:p>
      <w:r>
        <w:rPr>
          <w:b/>
        </w:rPr>
        <w:t>Gestión de cantidades y preservación de la finalidad.</w:t>
      </w:r>
      <w:r>
        <w:rPr/>
        <w:br/>
        <w:t xml:space="preserve">Para dar coherencia físico–financiera, las </w:t>
      </w:r>
      <w:r>
        <w:rPr>
          <w:b/>
        </w:rPr>
        <w:t>cantidades no ejecutadas</w:t>
      </w:r>
      <w:r>
        <w:rPr/>
        <w:t xml:space="preserve"> en el subtramo superpuesto pueden: (i) </w:t>
      </w:r>
      <w:r>
        <w:rPr>
          <w:b/>
        </w:rPr>
        <w:t>liberarse</w:t>
      </w:r>
      <w:r>
        <w:rPr/>
        <w:t xml:space="preserve"> como ahorros; o (ii) </w:t>
      </w:r>
      <w:r>
        <w:rPr>
          <w:b/>
        </w:rPr>
        <w:t>reprogramarse</w:t>
      </w:r>
      <w:r>
        <w:rPr/>
        <w:t xml:space="preserve"> a </w:t>
      </w:r>
      <w:r>
        <w:rPr>
          <w:b/>
        </w:rPr>
        <w:t>actividades complementarias</w:t>
      </w:r>
      <w:r>
        <w:rPr/>
        <w:t xml:space="preserve"> dentro del </w:t>
      </w:r>
      <w:r>
        <w:rPr>
          <w:b/>
        </w:rPr>
        <w:t>mismo producto y localización</w:t>
      </w:r>
      <w:r>
        <w:rPr/>
        <w:t xml:space="preserve">, siempre que ello no implique crear un nuevo producto ni desplazar la intervención a otra zona. En ambos casos, la </w:t>
      </w:r>
      <w:r>
        <w:rPr>
          <w:b/>
        </w:rPr>
        <w:t>interventoría</w:t>
      </w:r>
      <w:r>
        <w:rPr/>
        <w:t xml:space="preserve"> debe certificar que se </w:t>
      </w:r>
      <w:r>
        <w:rPr>
          <w:b/>
        </w:rPr>
        <w:t>preserva la funcionalidad</w:t>
      </w:r>
      <w:r>
        <w:rPr/>
        <w:t xml:space="preserve"> del corredor y que las medidas adoptadas </w:t>
      </w:r>
      <w:r>
        <w:rPr>
          <w:b/>
        </w:rPr>
        <w:t>maximizan la durabilidad</w:t>
      </w:r>
      <w:r>
        <w:rPr/>
        <w:t xml:space="preserve"> de la obra.</w:t>
      </w:r>
    </w:p>
    <w:p>
      <w:r>
        <w:rPr>
          <w:b/>
        </w:rPr>
        <w:t>Ventaja jurídica y técnica de esta solución.</w:t>
      </w:r>
      <w:r>
        <w:rPr/>
        <w:br/>
        <w:t xml:space="preserve">Este manejo </w:t>
      </w:r>
      <w:r>
        <w:rPr>
          <w:b/>
        </w:rPr>
        <w:t>evita</w:t>
      </w:r>
      <w:r>
        <w:rPr/>
        <w:t xml:space="preserve">: (a) declarar ex ante un </w:t>
      </w:r>
      <w:r>
        <w:rPr>
          <w:b/>
        </w:rPr>
        <w:t>cambio de alcance</w:t>
      </w:r>
      <w:r>
        <w:rPr/>
        <w:t xml:space="preserve"> (que no existe, porque no se modifican objetivos/producto/localización); (b) incurrir en </w:t>
      </w:r>
      <w:r>
        <w:rPr>
          <w:b/>
        </w:rPr>
        <w:t>demoliciones innecesarias</w:t>
      </w:r>
      <w:r>
        <w:rPr/>
        <w:t xml:space="preserve"> o en una </w:t>
      </w:r>
      <w:r>
        <w:rPr>
          <w:b/>
        </w:rPr>
        <w:t>relocalización</w:t>
      </w:r>
      <w:r>
        <w:rPr/>
        <w:t xml:space="preserve"> del producto; y (c) comprometer la </w:t>
      </w:r>
      <w:r>
        <w:rPr>
          <w:b/>
        </w:rPr>
        <w:t>eficacia de la inversión pública</w:t>
      </w:r>
      <w:r>
        <w:rPr/>
        <w:t xml:space="preserve">. A la vez, </w:t>
      </w:r>
      <w:r>
        <w:rPr>
          <w:b/>
        </w:rPr>
        <w:t>documenta</w:t>
      </w:r>
      <w:r>
        <w:rPr/>
        <w:t xml:space="preserve"> en el cierre —con estándares de trazabilidad técnica— el porqué de las </w:t>
      </w:r>
      <w:r>
        <w:rPr>
          <w:b/>
        </w:rPr>
        <w:t>cantidades no ejecutadas</w:t>
      </w:r>
      <w:r>
        <w:rPr/>
        <w:t xml:space="preserve"> en el subtramo, </w:t>
      </w:r>
      <w:r>
        <w:rPr>
          <w:b/>
        </w:rPr>
        <w:t>blindando</w:t>
      </w:r>
      <w:r>
        <w:rPr/>
        <w:t xml:space="preserve"> el proyecto frente a observaciones de control y </w:t>
      </w:r>
      <w:r>
        <w:rPr>
          <w:b/>
        </w:rPr>
        <w:t>acreditando</w:t>
      </w:r>
      <w:r>
        <w:rPr/>
        <w:t xml:space="preserve"> la racionalidad de la decisión.</w:t>
      </w:r>
    </w:p>
    <w:p>
      <w:r>
        <w:rPr>
          <w:b/>
        </w:rPr>
        <w:t>Requerimiento a la ejecutora para el cierre documentado.</w:t>
      </w:r>
      <w:r>
        <w:rPr/>
        <w:br/>
        <w:t xml:space="preserve">Se solicita que la </w:t>
      </w:r>
      <w:r>
        <w:rPr>
          <w:b/>
        </w:rPr>
        <w:t>RAP</w:t>
      </w:r>
      <w:r>
        <w:rPr/>
        <w:t xml:space="preserve"> convoque </w:t>
      </w:r>
      <w:r>
        <w:rPr>
          <w:b/>
        </w:rPr>
        <w:t>de inmediato</w:t>
      </w:r>
      <w:r>
        <w:rPr/>
        <w:t xml:space="preserve"> a la </w:t>
      </w:r>
      <w:r>
        <w:rPr>
          <w:b/>
        </w:rPr>
        <w:t>mesa técnica</w:t>
      </w:r>
      <w:r>
        <w:rPr/>
        <w:t xml:space="preserve"> con interventoría y Municipio para: (i) validar el </w:t>
      </w:r>
      <w:r>
        <w:rPr>
          <w:b/>
        </w:rPr>
        <w:t>levante topográfico</w:t>
      </w:r>
      <w:r>
        <w:rPr/>
        <w:t xml:space="preserve"> y el </w:t>
      </w:r>
      <w:r>
        <w:rPr>
          <w:b/>
        </w:rPr>
        <w:t>informe de condición</w:t>
      </w:r>
      <w:r>
        <w:rPr/>
        <w:t xml:space="preserve"> del subtramo superpuesto; (ii) acordar el </w:t>
      </w:r>
      <w:r>
        <w:rPr>
          <w:b/>
        </w:rPr>
        <w:t>formato de constancia de “cantidades no ejecutadas”</w:t>
      </w:r>
      <w:r>
        <w:rPr/>
        <w:t xml:space="preserve"> con sus anexos probatorios; (iii) definir la </w:t>
      </w:r>
      <w:r>
        <w:rPr>
          <w:b/>
        </w:rPr>
        <w:t>programación</w:t>
      </w:r>
      <w:r>
        <w:rPr/>
        <w:t xml:space="preserve"> de actividades complementarias dentro del corredor, si aplica; y (iv) cargar en el sistema de seguimiento la </w:t>
      </w:r>
      <w:r>
        <w:rPr>
          <w:b/>
        </w:rPr>
        <w:t>justificación técnica</w:t>
      </w:r>
      <w:r>
        <w:rPr/>
        <w:t xml:space="preserve"> de la “desviación” sin modificación del alcance.</w:t>
      </w:r>
    </w:p>
    <w:p>
      <w:r/>
    </w:p>
    <w:p>
      <w:r/>
    </w:p>
    <w:p>
      <w:r>
        <w:rPr>
          <w:b/>
        </w:rPr>
        <w:t>PETICIÓN</w:t>
      </w:r>
    </w:p>
    <w:p>
      <w:r/>
    </w:p>
    <w:p>
      <w:r>
        <w:rPr/>
        <w:t>Con fundamento en los argumentos de hecho, de derecho y de conveniencia pública expuestos a lo largo de este recurso, el Municipio de Leticia, actuando dentro del marco de sus competencias constitucionales y legales, y en ejercicio del derecho de defensa, consagrado en los artículos 14, 17 y 74 del Código de Procedimiento Administrativo y de lo Contencioso Administrativo (Ley 1437 de 2011), solicita respetuosamente a la Región Administrativa y de Planificación – RAP Amazonía lo siguiente:</w:t>
      </w:r>
    </w:p>
    <w:p>
      <w:r/>
    </w:p>
    <w:p>
      <w:r>
        <w:rPr/>
        <w:t>Que se revoque la Resolución No. 198 del 10 de septiembre de 2025, por cuanto adolece de motivación técnica suficiente, desconoció el principio de coordinación interinstitucional y adoptó una medida desproporcionada e ineficaz frente a las verdaderas circunstancias del proyecto. En su lugar, se solicita:</w:t>
      </w:r>
    </w:p>
    <w:p>
      <w:r/>
    </w:p>
    <w:p>
      <w:r>
        <w:rPr/>
        <w:t>a) Reconocer expresamente la legitimación del Municipio de Leticia como interesado directo y afectado actual dentro del proceso administrativo, en su condición de formulador inicial del proyecto, entidad territorial beneficiaria de la inversión y autoridad competente en materia de planeación urbana y vial dentro de su jurisdicción.</w:t>
      </w:r>
    </w:p>
    <w:p>
      <w:r/>
    </w:p>
    <w:p>
      <w:r>
        <w:rPr/>
        <w:t xml:space="preserve">b) Disponer la continuidad del proyecto BPIN 2021000060016, denominado “Fortalecimiento de la Integración Socioeconómica del Departamento del Amazonas </w:t>
      </w:r>
      <w:r>
        <w:rPr/>
        <w:t>mediante la construcción de la Avenida Vásquez Cobo en el municipio de Leticia”, teniendo en cuenta que las observaciones formuladas por la RAP son de carácter subsanable y que los informes técnicos y de interventoría acreditan su plena viabilidad dentro del alcance contractual vigente.</w:t>
      </w:r>
    </w:p>
    <w:p>
      <w:r/>
    </w:p>
    <w:p>
      <w:r>
        <w:rPr/>
        <w:t>c) Ordenar la conformación de una Mesa Técnica Interinstitucional, integrada por la RAP Amazonía, el Municipio de Leticia, el Departamento Nacional de Planeación – DNP y el Ministerio de Transporte, con el objeto de revisar, concertar y validar los ajustes técnicos, financieros y administrativos requeridos para garantizar la ejecución integral del proyecto, preservando los principios de coordinación, eficacia y continuidad de la función administrativa.</w:t>
      </w:r>
    </w:p>
    <w:p>
      <w:r/>
    </w:p>
    <w:p>
      <w:r/>
    </w:p>
    <w:p>
      <w:r>
        <w:rPr>
          <w:b/>
        </w:rPr>
        <w:t>NOTIFICACIONES</w:t>
      </w:r>
    </w:p>
    <w:p>
      <w:r/>
    </w:p>
    <w:p>
      <w:r>
        <w:rPr/>
        <w:t xml:space="preserve">El Municipio de Leticia recibirá notificaciones en la Carrera 10 No. 10-47, Palacio Municipal, Leticia – Amazonas, y al correo electrónico institucional </w:t>
      </w:r>
      <w:r>
        <w:rPr/>
        <w:t>.</w:t>
      </w:r>
    </w:p>
    <w:p>
      <w:r/>
    </w:p>
    <w:p>
      <w:r>
        <w:rPr/>
        <w:t>Atentamente,</w:t>
      </w:r>
    </w:p>
    <w:p>
      <w:r/>
    </w:p>
    <w:p>
      <w:r/>
    </w:p>
    <w:p>
      <w:r/>
    </w:p>
    <w:p>
      <w:r>
        <w:rPr>
          <w:b/>
        </w:rPr>
        <w:t>ELQUIN JADRIAN UNI HEREDIA</w:t>
      </w:r>
    </w:p>
    <w:p>
      <w:r>
        <w:rPr/>
        <w:t>Alcalde de Leticia-Amazonas</w:t>
      </w:r>
    </w:p>
    <w:p>
      <w:r/>
    </w:p>
    <w:p>
      <w:r>
        <w:rPr>
          <w:i/>
        </w:rPr>
        <w:t>Proyectó</w:t>
      </w:r>
      <w:r>
        <w:rPr>
          <w:i/>
        </w:rPr>
        <w:t xml:space="preserve">: </w:t>
      </w:r>
      <w:r>
        <w:rPr>
          <w:i/>
        </w:rPr>
        <w:t>:</w:t>
      </w:r>
      <w:r>
        <w:rPr>
          <w:i/>
        </w:rPr>
        <w:t xml:space="preserve"> Wilder Colonia Ortiz Abogado SPI</w:t>
      </w:r>
    </w:p>
    <w:p>
      <w:r>
        <w:rPr>
          <w:i/>
        </w:rPr>
        <w:t>Revisó</w:t>
      </w:r>
      <w:r>
        <w:rPr>
          <w:i/>
        </w:rPr>
        <w:t xml:space="preserve">: Angela Andrea González Villa </w:t>
      </w:r>
      <w:r>
        <w:rPr>
          <w:i/>
        </w:rPr>
        <w:t>Secretaria</w:t>
      </w:r>
      <w:r>
        <w:rPr>
          <w:i/>
        </w:rPr>
        <w:t xml:space="preserve"> de Planeación e Infraestructura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ituloCentro">
    <w:name w:val="TituloCentro"/>
    <w:rPr>
      <w:rFonts w:ascii="Calibri" w:hAnsi="Calibri" w:eastAsia="Calibri"/>
      <w:b/>
      <w:sz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